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30" w:rsidRPr="00226416" w:rsidRDefault="00BE4CBD" w:rsidP="00226416">
      <w:pPr>
        <w:pStyle w:val="Lijstalinea"/>
        <w:numPr>
          <w:ilvl w:val="0"/>
          <w:numId w:val="4"/>
        </w:numPr>
      </w:pPr>
    </w:p>
    <w:p w:rsidR="00226416" w:rsidRDefault="00226416" w:rsidP="00226416">
      <w:pPr>
        <w:pStyle w:val="Lijstalinea"/>
        <w:numPr>
          <w:ilvl w:val="0"/>
          <w:numId w:val="4"/>
        </w:numPr>
        <w:autoSpaceDE w:val="0"/>
        <w:autoSpaceDN w:val="0"/>
        <w:adjustRightInd w:val="0"/>
      </w:pPr>
    </w:p>
    <w:p w:rsidR="00226416" w:rsidRPr="00226416" w:rsidRDefault="00226416" w:rsidP="00226416">
      <w:pPr>
        <w:pStyle w:val="Lijstalinea"/>
        <w:numPr>
          <w:ilvl w:val="0"/>
          <w:numId w:val="4"/>
        </w:numPr>
        <w:autoSpaceDE w:val="0"/>
        <w:autoSpaceDN w:val="0"/>
        <w:adjustRightInd w:val="0"/>
      </w:pPr>
      <w:proofErr w:type="spellStart"/>
      <w:r w:rsidRPr="00226416">
        <w:t>Pag</w:t>
      </w:r>
      <w:proofErr w:type="spellEnd"/>
      <w:r w:rsidRPr="00226416">
        <w:t xml:space="preserve"> 8</w:t>
      </w:r>
      <w:r>
        <w:t>1</w:t>
      </w:r>
    </w:p>
    <w:p w:rsidR="00226416" w:rsidRDefault="00226416" w:rsidP="00226416">
      <w:pPr>
        <w:autoSpaceDE w:val="0"/>
        <w:autoSpaceDN w:val="0"/>
        <w:adjustRightInd w:val="0"/>
        <w:ind w:left="1416"/>
      </w:pPr>
      <w:r>
        <w:rPr>
          <w:rFonts w:ascii="˚FÀ˛" w:hAnsi="˚FÀ˛" w:cs="˚FÀ˛"/>
          <w:sz w:val="16"/>
          <w:szCs w:val="16"/>
        </w:rPr>
        <w:t>Geplaatst kapitaal 8.250</w:t>
      </w:r>
    </w:p>
    <w:p w:rsidR="00226416" w:rsidRDefault="00226416" w:rsidP="00226416">
      <w:pPr>
        <w:autoSpaceDE w:val="0"/>
        <w:autoSpaceDN w:val="0"/>
        <w:adjustRightInd w:val="0"/>
        <w:ind w:left="1416"/>
        <w:rPr>
          <w:rFonts w:ascii="˚FÀ˛" w:hAnsi="˚FÀ˛" w:cs="˚FÀ˛"/>
          <w:sz w:val="16"/>
          <w:szCs w:val="16"/>
        </w:rPr>
      </w:pPr>
      <w:r w:rsidRPr="00226416">
        <w:rPr>
          <w:rFonts w:ascii="˚FÀ˛" w:hAnsi="˚FÀ˛" w:cs="˚FÀ˛"/>
          <w:sz w:val="16"/>
          <w:szCs w:val="16"/>
        </w:rPr>
        <w:t xml:space="preserve"> </w:t>
      </w:r>
      <w:r>
        <w:rPr>
          <w:rFonts w:ascii="˚FÀ˛" w:hAnsi="˚FÀ˛" w:cs="˚FÀ˛"/>
          <w:sz w:val="16"/>
          <w:szCs w:val="16"/>
        </w:rPr>
        <w:t>Het maatschappelijk kapitaal is als volgt verdeeld (bedragen x EUR 1):</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- 45.000.000 gewone aandelen van nominaal EUR 0,45 20.250.000</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- 14.999.999 preferente aandelen van nominaal EUR 0,45 6.750.000</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- 1 bijzonder aandeel van nominaal EUR 0,45 -</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Het geplaatst en volgestort kapitaal is als volgt samengesteld (bedragen x EUR 1):</w:t>
      </w:r>
    </w:p>
    <w:p w:rsidR="00226416" w:rsidRDefault="00226416" w:rsidP="00226416">
      <w:pPr>
        <w:ind w:left="1416"/>
        <w:rPr>
          <w:rFonts w:ascii="˚FÀ˛" w:hAnsi="˚FÀ˛" w:cs="˚FÀ˛"/>
          <w:sz w:val="16"/>
          <w:szCs w:val="16"/>
        </w:rPr>
      </w:pPr>
      <w:r>
        <w:rPr>
          <w:rFonts w:ascii="˚FÀ˛" w:hAnsi="˚FÀ˛" w:cs="˚FÀ˛"/>
          <w:sz w:val="16"/>
          <w:szCs w:val="16"/>
        </w:rPr>
        <w:t>- 18.333.332 gewone aandelen van nominaal EUR 0,45</w:t>
      </w:r>
    </w:p>
    <w:p w:rsidR="00226416" w:rsidRPr="00226416" w:rsidRDefault="00226416" w:rsidP="00226416">
      <w:pPr>
        <w:autoSpaceDE w:val="0"/>
        <w:autoSpaceDN w:val="0"/>
        <w:adjustRightInd w:val="0"/>
        <w:ind w:left="708"/>
        <w:rPr>
          <w:rFonts w:asciiTheme="minorHAnsi" w:hAnsiTheme="minorHAnsi" w:cstheme="minorHAnsi"/>
        </w:rPr>
      </w:pPr>
      <w:r w:rsidRPr="00226416">
        <w:rPr>
          <w:rFonts w:asciiTheme="minorHAnsi" w:hAnsiTheme="minorHAnsi" w:cstheme="minorHAnsi"/>
        </w:rPr>
        <w:t>8 en 9</w:t>
      </w:r>
    </w:p>
    <w:p w:rsidR="00226416" w:rsidRDefault="00226416" w:rsidP="00226416">
      <w:pPr>
        <w:autoSpaceDE w:val="0"/>
        <w:autoSpaceDN w:val="0"/>
        <w:adjustRightInd w:val="0"/>
        <w:ind w:left="1416"/>
        <w:rPr>
          <w:rFonts w:ascii="˚FÀ˛" w:hAnsi="˚FÀ˛" w:cs="˚FÀ˛"/>
          <w:sz w:val="16"/>
          <w:szCs w:val="16"/>
        </w:rPr>
      </w:pPr>
    </w:p>
    <w:p w:rsidR="00226416" w:rsidRDefault="00226416" w:rsidP="00226416">
      <w:pPr>
        <w:autoSpaceDE w:val="0"/>
        <w:autoSpaceDN w:val="0"/>
        <w:adjustRightInd w:val="0"/>
        <w:ind w:left="1416"/>
        <w:rPr>
          <w:rFonts w:ascii="˚FÀ˛" w:hAnsi="˚FÀ˛" w:cs="˚FÀ˛"/>
          <w:sz w:val="16"/>
          <w:szCs w:val="16"/>
        </w:rPr>
      </w:pP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 xml:space="preserve">Onder de deelnemingen is opgenomen het belang van 13,2% in Stadion Amsterdam NV (de </w:t>
      </w:r>
      <w:proofErr w:type="spellStart"/>
      <w:r>
        <w:rPr>
          <w:rFonts w:ascii="˚FÀ˛" w:hAnsi="˚FÀ˛" w:cs="˚FÀ˛"/>
          <w:sz w:val="16"/>
          <w:szCs w:val="16"/>
        </w:rPr>
        <w:t>ArenA</w:t>
      </w:r>
      <w:proofErr w:type="spellEnd"/>
      <w:r>
        <w:rPr>
          <w:rFonts w:ascii="˚FÀ˛" w:hAnsi="˚FÀ˛" w:cs="˚FÀ˛"/>
          <w:sz w:val="16"/>
          <w:szCs w:val="16"/>
        </w:rPr>
        <w:t>) van EUR 2.800.000 (per 30 juni 2017 EUR 2.800.000).</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 xml:space="preserve">. In het kader van een beoogde verkoop van certificaten van een aandeel F in Stadion Amsterdam NV (de </w:t>
      </w:r>
      <w:proofErr w:type="spellStart"/>
      <w:r>
        <w:rPr>
          <w:rFonts w:ascii="˚FÀ˛" w:hAnsi="˚FÀ˛" w:cs="˚FÀ˛"/>
          <w:sz w:val="16"/>
          <w:szCs w:val="16"/>
        </w:rPr>
        <w:t>ArenA</w:t>
      </w:r>
      <w:proofErr w:type="spellEnd"/>
      <w:r>
        <w:rPr>
          <w:rFonts w:ascii="˚FÀ˛" w:hAnsi="˚FÀ˛" w:cs="˚FÀ˛"/>
          <w:sz w:val="16"/>
          <w:szCs w:val="16"/>
        </w:rPr>
        <w:t>) van de Gemeente Amsterdam</w:t>
      </w:r>
    </w:p>
    <w:p w:rsidR="00226416" w:rsidRDefault="00226416" w:rsidP="00226416">
      <w:pPr>
        <w:autoSpaceDE w:val="0"/>
        <w:autoSpaceDN w:val="0"/>
        <w:adjustRightInd w:val="0"/>
        <w:ind w:left="1416"/>
        <w:rPr>
          <w:rFonts w:ascii="˚FÀ˛" w:hAnsi="˚FÀ˛" w:cs="˚FÀ˛"/>
          <w:sz w:val="16"/>
          <w:szCs w:val="16"/>
        </w:rPr>
      </w:pPr>
      <w:proofErr w:type="gramStart"/>
      <w:r>
        <w:rPr>
          <w:rFonts w:ascii="˚FÀ˛" w:hAnsi="˚FÀ˛" w:cs="˚FÀ˛"/>
          <w:sz w:val="16"/>
          <w:szCs w:val="16"/>
        </w:rPr>
        <w:t>aan</w:t>
      </w:r>
      <w:proofErr w:type="gramEnd"/>
      <w:r>
        <w:rPr>
          <w:rFonts w:ascii="˚FÀ˛" w:hAnsi="˚FÀ˛" w:cs="˚FÀ˛"/>
          <w:sz w:val="16"/>
          <w:szCs w:val="16"/>
        </w:rPr>
        <w:t xml:space="preserve"> Ajax hebben de Gemeente Amsterdam en Ajax in 2017 een externe waardering laten uitvoeren. Deze waardering is met name afhankelijk van de inschatting van de verwachte toekomstige kasstromen. </w:t>
      </w:r>
    </w:p>
    <w:p w:rsidR="00226416" w:rsidRDefault="00226416" w:rsidP="00226416">
      <w:pPr>
        <w:autoSpaceDE w:val="0"/>
        <w:autoSpaceDN w:val="0"/>
        <w:adjustRightInd w:val="0"/>
        <w:ind w:left="1416"/>
        <w:rPr>
          <w:rFonts w:ascii="˚FÀ˛" w:hAnsi="˚FÀ˛" w:cs="˚FÀ˛"/>
          <w:sz w:val="16"/>
          <w:szCs w:val="16"/>
        </w:rPr>
      </w:pPr>
      <w:r>
        <w:rPr>
          <w:rFonts w:ascii="˚FÀ˛" w:hAnsi="˚FÀ˛" w:cs="˚FÀ˛"/>
          <w:sz w:val="16"/>
          <w:szCs w:val="16"/>
        </w:rPr>
        <w:t>De verwachte kasstromen zijn zeer sterk afhankelijk van één hoofdhuurder, toekomstige investeringen en het</w:t>
      </w:r>
    </w:p>
    <w:p w:rsidR="00226416" w:rsidRPr="00226416" w:rsidRDefault="00226416" w:rsidP="00226416">
      <w:pPr>
        <w:autoSpaceDE w:val="0"/>
        <w:autoSpaceDN w:val="0"/>
        <w:adjustRightInd w:val="0"/>
        <w:ind w:left="1416"/>
        <w:rPr>
          <w:rFonts w:ascii="˚FÀ˛" w:hAnsi="˚FÀ˛" w:cs="˚FÀ˛"/>
          <w:sz w:val="16"/>
          <w:szCs w:val="16"/>
        </w:rPr>
      </w:pPr>
      <w:proofErr w:type="spellStart"/>
      <w:proofErr w:type="gramStart"/>
      <w:r>
        <w:rPr>
          <w:rFonts w:ascii="˚FÀ˛" w:hAnsi="˚FÀ˛" w:cs="˚FÀ˛"/>
          <w:sz w:val="16"/>
          <w:szCs w:val="16"/>
        </w:rPr>
        <w:t>meerjaren</w:t>
      </w:r>
      <w:proofErr w:type="spellEnd"/>
      <w:proofErr w:type="gramEnd"/>
      <w:r>
        <w:rPr>
          <w:rFonts w:ascii="˚FÀ˛" w:hAnsi="˚FÀ˛" w:cs="˚FÀ˛"/>
          <w:sz w:val="16"/>
          <w:szCs w:val="16"/>
        </w:rPr>
        <w:t xml:space="preserve"> onderhoudsplan. De kasstromen zijn contant gemaakt met een disconteringsvoet van 8,1%. Op basis van het externe waarderingsrapport is de waarde van het belang in Stadion Amsterdam NV in 2016/2017 bijgesteld naar EUR 2.800.000. Dit heeft geleid tot een bijzondere waardevermindering van het belang in Stadion Amsterdam NV voor een bedrag van EUR 2.200.000. Amsterdam NV. De nominale waarde van het belang, bestaande uit 20.000 certificaten op aandelen F, bedraagt EUR 9.075.604.</w:t>
      </w:r>
    </w:p>
    <w:p w:rsidR="00226416" w:rsidRPr="00226416" w:rsidRDefault="00226416" w:rsidP="00226416">
      <w:pPr>
        <w:ind w:left="2124"/>
        <w:rPr>
          <w:rFonts w:ascii="˚FÀ˛" w:hAnsi="˚FÀ˛" w:cs="˚FÀ˛"/>
          <w:sz w:val="16"/>
          <w:szCs w:val="16"/>
        </w:rPr>
      </w:pPr>
    </w:p>
    <w:p w:rsidR="00226416" w:rsidRDefault="00226416" w:rsidP="00226416">
      <w:pPr>
        <w:ind w:left="2124"/>
      </w:pPr>
    </w:p>
    <w:p w:rsidR="00AE702F" w:rsidRDefault="00AE702F" w:rsidP="00AE702F">
      <w:r>
        <w:tab/>
        <w:t xml:space="preserve">Winstbestemming, directieverslag </w:t>
      </w:r>
      <w:proofErr w:type="spellStart"/>
      <w:r>
        <w:t>pag</w:t>
      </w:r>
      <w:proofErr w:type="spellEnd"/>
      <w:r>
        <w:t xml:space="preserve"> 34</w:t>
      </w: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De directie stelt voor het positieve resultaat na belasting van € 1,2 miljoen aan de overige reserves toe te voegen, die hiermee op € 50,0 miljoen positief komen</w:t>
      </w:r>
    </w:p>
    <w:p w:rsidR="00AE702F" w:rsidRDefault="00AE702F" w:rsidP="00AE702F">
      <w:pPr>
        <w:autoSpaceDE w:val="0"/>
        <w:autoSpaceDN w:val="0"/>
        <w:adjustRightInd w:val="0"/>
        <w:ind w:left="1416"/>
        <w:rPr>
          <w:rFonts w:ascii="˚FÀ˛" w:hAnsi="˚FÀ˛" w:cs="˚FÀ˛"/>
          <w:sz w:val="16"/>
          <w:szCs w:val="16"/>
        </w:rPr>
      </w:pPr>
    </w:p>
    <w:p w:rsidR="00AE702F" w:rsidRDefault="00AE702F" w:rsidP="00AE702F">
      <w:pPr>
        <w:autoSpaceDE w:val="0"/>
        <w:autoSpaceDN w:val="0"/>
        <w:adjustRightInd w:val="0"/>
        <w:ind w:left="1416"/>
        <w:rPr>
          <w:rFonts w:ascii="˚FÀ˛" w:hAnsi="˚FÀ˛" w:cs="˚FÀ˛"/>
          <w:sz w:val="16"/>
          <w:szCs w:val="16"/>
        </w:rPr>
      </w:pPr>
      <w:proofErr w:type="spellStart"/>
      <w:r>
        <w:rPr>
          <w:rFonts w:ascii="˚FÀ˛" w:hAnsi="˚FÀ˛" w:cs="˚FÀ˛"/>
          <w:sz w:val="16"/>
          <w:szCs w:val="16"/>
        </w:rPr>
        <w:t>Pag</w:t>
      </w:r>
      <w:proofErr w:type="spellEnd"/>
      <w:r>
        <w:rPr>
          <w:rFonts w:ascii="˚FÀ˛" w:hAnsi="˚FÀ˛" w:cs="˚FÀ˛"/>
          <w:sz w:val="16"/>
          <w:szCs w:val="16"/>
        </w:rPr>
        <w:t xml:space="preserve"> 8</w:t>
      </w:r>
      <w:r w:rsidR="00C94848">
        <w:rPr>
          <w:rFonts w:ascii="˚FÀ˛" w:hAnsi="˚FÀ˛" w:cs="˚FÀ˛"/>
          <w:sz w:val="16"/>
          <w:szCs w:val="16"/>
        </w:rPr>
        <w:t>2</w:t>
      </w: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VOORSTEL RESULTAATBESTEMMING</w:t>
      </w: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Over het boekjaar 2017/2018 zal geen dividend worden uitgekeerd.</w:t>
      </w: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 xml:space="preserve">De directie stelt voor het </w:t>
      </w:r>
      <w:proofErr w:type="gramStart"/>
      <w:r>
        <w:rPr>
          <w:rFonts w:ascii="˚FÀ˛" w:hAnsi="˚FÀ˛" w:cs="˚FÀ˛"/>
          <w:sz w:val="16"/>
          <w:szCs w:val="16"/>
        </w:rPr>
        <w:t>netto resultaat</w:t>
      </w:r>
      <w:proofErr w:type="gramEnd"/>
      <w:r>
        <w:rPr>
          <w:rFonts w:ascii="˚FÀ˛" w:hAnsi="˚FÀ˛" w:cs="˚FÀ˛"/>
          <w:sz w:val="16"/>
          <w:szCs w:val="16"/>
        </w:rPr>
        <w:t xml:space="preserve"> over het boekjaar 2017/2018 van EUR 1,186 miljoen toe te voegen aan de overige reserves.</w:t>
      </w: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Dit voorstel is nog niet in de cijfers verwerkt</w:t>
      </w:r>
    </w:p>
    <w:p w:rsidR="00AE702F" w:rsidRDefault="00AE702F" w:rsidP="00AE702F">
      <w:pPr>
        <w:autoSpaceDE w:val="0"/>
        <w:autoSpaceDN w:val="0"/>
        <w:adjustRightInd w:val="0"/>
        <w:ind w:left="1416"/>
        <w:rPr>
          <w:rFonts w:ascii="˚FÀ˛" w:hAnsi="˚FÀ˛" w:cs="˚FÀ˛"/>
          <w:sz w:val="16"/>
          <w:szCs w:val="16"/>
        </w:rPr>
      </w:pPr>
    </w:p>
    <w:p w:rsidR="00AE702F" w:rsidRDefault="00AE702F" w:rsidP="00AE702F">
      <w:pPr>
        <w:autoSpaceDE w:val="0"/>
        <w:autoSpaceDN w:val="0"/>
        <w:adjustRightInd w:val="0"/>
        <w:ind w:left="1416"/>
        <w:rPr>
          <w:rFonts w:ascii="˚FÀ˛" w:hAnsi="˚FÀ˛" w:cs="˚FÀ˛"/>
          <w:sz w:val="16"/>
          <w:szCs w:val="16"/>
        </w:rPr>
      </w:pPr>
      <w:r>
        <w:rPr>
          <w:rFonts w:ascii="˚FÀ˛" w:hAnsi="˚FÀ˛" w:cs="˚FÀ˛"/>
          <w:sz w:val="16"/>
          <w:szCs w:val="16"/>
        </w:rPr>
        <w:t xml:space="preserve">Vorig boekjaar </w:t>
      </w:r>
      <w:proofErr w:type="spellStart"/>
      <w:r>
        <w:rPr>
          <w:rFonts w:ascii="˚FÀ˛" w:hAnsi="˚FÀ˛" w:cs="˚FÀ˛"/>
          <w:sz w:val="16"/>
          <w:szCs w:val="16"/>
        </w:rPr>
        <w:t>pag</w:t>
      </w:r>
      <w:proofErr w:type="spellEnd"/>
      <w:r>
        <w:rPr>
          <w:rFonts w:ascii="˚FÀ˛" w:hAnsi="˚FÀ˛" w:cs="˚FÀ˛"/>
          <w:sz w:val="16"/>
          <w:szCs w:val="16"/>
        </w:rPr>
        <w:t xml:space="preserve"> 63 €1188000</w:t>
      </w:r>
    </w:p>
    <w:p w:rsidR="00C94848" w:rsidRDefault="00C94848" w:rsidP="00AE702F">
      <w:pPr>
        <w:autoSpaceDE w:val="0"/>
        <w:autoSpaceDN w:val="0"/>
        <w:adjustRightInd w:val="0"/>
        <w:ind w:left="1416"/>
        <w:rPr>
          <w:rFonts w:ascii="˚FÀ˛" w:hAnsi="˚FÀ˛" w:cs="˚FÀ˛"/>
          <w:sz w:val="16"/>
          <w:szCs w:val="16"/>
        </w:rPr>
      </w:pPr>
    </w:p>
    <w:p w:rsidR="00C94848" w:rsidRDefault="00C94848" w:rsidP="00AE702F">
      <w:pPr>
        <w:autoSpaceDE w:val="0"/>
        <w:autoSpaceDN w:val="0"/>
        <w:adjustRightInd w:val="0"/>
        <w:ind w:left="1416"/>
        <w:rPr>
          <w:rFonts w:ascii="˚FÀ˛" w:hAnsi="˚FÀ˛" w:cs="˚FÀ˛"/>
          <w:sz w:val="16"/>
          <w:szCs w:val="16"/>
        </w:rPr>
      </w:pPr>
      <w:proofErr w:type="spellStart"/>
      <w:r>
        <w:rPr>
          <w:rFonts w:ascii="˚FÀ˛" w:hAnsi="˚FÀ˛" w:cs="˚FÀ˛"/>
          <w:sz w:val="16"/>
          <w:szCs w:val="16"/>
        </w:rPr>
        <w:t>Pag</w:t>
      </w:r>
      <w:proofErr w:type="spellEnd"/>
      <w:r>
        <w:rPr>
          <w:rFonts w:ascii="˚FÀ˛" w:hAnsi="˚FÀ˛" w:cs="˚FÀ˛"/>
          <w:sz w:val="16"/>
          <w:szCs w:val="16"/>
        </w:rPr>
        <w:t xml:space="preserve"> 71 16/17</w:t>
      </w:r>
    </w:p>
    <w:p w:rsidR="00C94848" w:rsidRDefault="00C94848" w:rsidP="00C94848">
      <w:pPr>
        <w:autoSpaceDE w:val="0"/>
        <w:autoSpaceDN w:val="0"/>
        <w:adjustRightInd w:val="0"/>
        <w:ind w:left="1416"/>
        <w:rPr>
          <w:rFonts w:ascii="˚FÀ˛" w:hAnsi="˚FÀ˛" w:cs="˚FÀ˛"/>
          <w:sz w:val="16"/>
          <w:szCs w:val="16"/>
        </w:rPr>
      </w:pPr>
      <w:r>
        <w:rPr>
          <w:rFonts w:ascii="˚FÀ˛" w:hAnsi="˚FÀ˛" w:cs="˚FÀ˛"/>
          <w:sz w:val="16"/>
          <w:szCs w:val="16"/>
        </w:rPr>
        <w:t xml:space="preserve">Beschikbaar gesteld dividend EUR 4,400 miljoen. Door de Vereniging </w:t>
      </w:r>
      <w:proofErr w:type="spellStart"/>
      <w:r>
        <w:rPr>
          <w:rFonts w:ascii="˚FÀ˛" w:hAnsi="˚FÀ˛" w:cs="˚FÀ˛"/>
          <w:sz w:val="16"/>
          <w:szCs w:val="16"/>
        </w:rPr>
        <w:t>Amsterdamsche</w:t>
      </w:r>
      <w:proofErr w:type="spellEnd"/>
      <w:r>
        <w:rPr>
          <w:rFonts w:ascii="˚FÀ˛" w:hAnsi="˚FÀ˛" w:cs="˚FÀ˛"/>
          <w:sz w:val="16"/>
          <w:szCs w:val="16"/>
        </w:rPr>
        <w:t xml:space="preserve"> Footballclub 'Ajax' is afgezien van EUR 3,212 miljoen dividend. Uit te keren dividend EUR 1,188 miljoen, zijnde EUR 0,24 per aandeel van nominaal EUR 0,45.</w:t>
      </w:r>
    </w:p>
    <w:p w:rsidR="00C94848" w:rsidRDefault="00C94848" w:rsidP="00C94848">
      <w:pPr>
        <w:ind w:left="1416"/>
        <w:rPr>
          <w:rFonts w:asciiTheme="minorHAnsi" w:hAnsiTheme="minorHAnsi" w:cstheme="minorHAnsi"/>
          <w:color w:val="000000"/>
        </w:rPr>
      </w:pPr>
      <w:r w:rsidRPr="00C94848">
        <w:rPr>
          <w:rFonts w:asciiTheme="minorHAnsi" w:hAnsiTheme="minorHAnsi" w:cstheme="minorHAnsi"/>
          <w:color w:val="000000"/>
        </w:rPr>
        <w:t xml:space="preserve">De vereniging AFC Ajax telt ruim 700 leden met stemrecht en bezit 73% van de aandelen van AFC Ajax NV (bron </w:t>
      </w:r>
      <w:proofErr w:type="gramStart"/>
      <w:r w:rsidRPr="00C94848">
        <w:rPr>
          <w:rFonts w:asciiTheme="minorHAnsi" w:hAnsiTheme="minorHAnsi" w:cstheme="minorHAnsi"/>
          <w:color w:val="000000"/>
        </w:rPr>
        <w:t>internet site</w:t>
      </w:r>
      <w:proofErr w:type="gramEnd"/>
      <w:r w:rsidRPr="00C94848">
        <w:rPr>
          <w:rFonts w:asciiTheme="minorHAnsi" w:hAnsiTheme="minorHAnsi" w:cstheme="minorHAnsi"/>
          <w:color w:val="000000"/>
        </w:rPr>
        <w:t xml:space="preserve"> de vereniging)</w:t>
      </w:r>
    </w:p>
    <w:p w:rsidR="003A68CC" w:rsidRPr="00C94848" w:rsidRDefault="003A68CC" w:rsidP="00C94848">
      <w:pPr>
        <w:ind w:left="1416"/>
        <w:rPr>
          <w:rFonts w:asciiTheme="minorHAnsi" w:hAnsiTheme="minorHAnsi" w:cstheme="minorHAnsi"/>
        </w:rPr>
      </w:pPr>
      <w:r>
        <w:rPr>
          <w:rFonts w:asciiTheme="minorHAnsi" w:hAnsiTheme="minorHAnsi" w:cstheme="minorHAnsi"/>
        </w:rPr>
        <w:t>Overige gegevens</w:t>
      </w:r>
    </w:p>
    <w:p w:rsidR="003A68CC" w:rsidRPr="003A68CC" w:rsidRDefault="003A68CC" w:rsidP="003A68CC">
      <w:pPr>
        <w:autoSpaceDE w:val="0"/>
        <w:autoSpaceDN w:val="0"/>
        <w:adjustRightInd w:val="0"/>
        <w:ind w:left="1416"/>
        <w:rPr>
          <w:rFonts w:asciiTheme="minorHAnsi" w:eastAsiaTheme="minorHAnsi" w:hAnsiTheme="minorHAnsi" w:cstheme="minorHAnsi"/>
          <w:sz w:val="16"/>
          <w:szCs w:val="16"/>
          <w:lang w:eastAsia="en-US"/>
        </w:rPr>
      </w:pPr>
      <w:r w:rsidRPr="003A68CC">
        <w:rPr>
          <w:rFonts w:asciiTheme="minorHAnsi" w:eastAsiaTheme="minorHAnsi" w:hAnsiTheme="minorHAnsi" w:cstheme="minorHAnsi"/>
          <w:sz w:val="16"/>
          <w:szCs w:val="16"/>
          <w:lang w:eastAsia="en-US"/>
        </w:rPr>
        <w:t>Artikel 30 van de statuten heeft de navolgende strekking:</w:t>
      </w:r>
    </w:p>
    <w:p w:rsidR="003A68CC" w:rsidRPr="003A68CC" w:rsidRDefault="003A68CC" w:rsidP="003A68CC">
      <w:pPr>
        <w:autoSpaceDE w:val="0"/>
        <w:autoSpaceDN w:val="0"/>
        <w:adjustRightInd w:val="0"/>
        <w:ind w:left="1416"/>
        <w:rPr>
          <w:rFonts w:asciiTheme="minorHAnsi" w:eastAsiaTheme="minorHAnsi" w:hAnsiTheme="minorHAnsi" w:cstheme="minorHAnsi"/>
          <w:sz w:val="16"/>
          <w:szCs w:val="16"/>
          <w:lang w:eastAsia="en-US"/>
        </w:rPr>
      </w:pPr>
      <w:r w:rsidRPr="003A68CC">
        <w:rPr>
          <w:rFonts w:asciiTheme="minorHAnsi" w:eastAsiaTheme="minorHAnsi" w:hAnsiTheme="minorHAnsi" w:cstheme="minorHAnsi"/>
          <w:sz w:val="16"/>
          <w:szCs w:val="16"/>
          <w:lang w:eastAsia="en-US"/>
        </w:rPr>
        <w:t xml:space="preserve">1a Uit de winst – het positieve saldo van de winst- en verliesrekening – die in het laatst verstreken boekjaar is behaald, wordt allereerst, zo mogelijk, op het bijzonder aandeel een dividend uitgekeerd van zes procent (6%) van het nominale bedrag en op ieder preferent aandeel een dividend uitgekeerd waarvan de hoogte </w:t>
      </w:r>
      <w:proofErr w:type="spellStart"/>
      <w:r w:rsidRPr="003A68CC">
        <w:rPr>
          <w:rFonts w:asciiTheme="minorHAnsi" w:eastAsiaTheme="minorHAnsi" w:hAnsiTheme="minorHAnsi" w:cstheme="minorHAnsi"/>
          <w:sz w:val="16"/>
          <w:szCs w:val="16"/>
          <w:lang w:eastAsia="en-US"/>
        </w:rPr>
        <w:t>casu</w:t>
      </w:r>
      <w:proofErr w:type="spellEnd"/>
      <w:r w:rsidRPr="003A68CC">
        <w:rPr>
          <w:rFonts w:asciiTheme="minorHAnsi" w:eastAsiaTheme="minorHAnsi" w:hAnsiTheme="minorHAnsi" w:cstheme="minorHAnsi"/>
          <w:sz w:val="16"/>
          <w:szCs w:val="16"/>
          <w:lang w:eastAsia="en-US"/>
        </w:rPr>
        <w:t xml:space="preserve"> quo de wijze van vaststelling wordt bepaald door het tot uitgifte bevoegde orgaan bij de uitgifte van het preferent aandeel. Bij de vaststelling kan rekening worden gehouden met het op preferente aandelen van de betrokken soort gestort agio.</w:t>
      </w:r>
    </w:p>
    <w:p w:rsidR="00C94848" w:rsidRDefault="003A68CC" w:rsidP="003A68CC">
      <w:pPr>
        <w:autoSpaceDE w:val="0"/>
        <w:autoSpaceDN w:val="0"/>
        <w:adjustRightInd w:val="0"/>
        <w:ind w:left="1416"/>
        <w:rPr>
          <w:rFonts w:asciiTheme="minorHAnsi" w:eastAsiaTheme="minorHAnsi" w:hAnsiTheme="minorHAnsi" w:cstheme="minorHAnsi"/>
          <w:sz w:val="16"/>
          <w:szCs w:val="16"/>
          <w:lang w:eastAsia="en-US"/>
        </w:rPr>
      </w:pPr>
      <w:r w:rsidRPr="003A68CC">
        <w:rPr>
          <w:rFonts w:asciiTheme="minorHAnsi" w:eastAsiaTheme="minorHAnsi" w:hAnsiTheme="minorHAnsi" w:cstheme="minorHAnsi"/>
          <w:sz w:val="16"/>
          <w:szCs w:val="16"/>
          <w:lang w:eastAsia="en-US"/>
        </w:rPr>
        <w:t>1b Indien over enig boekjaar de hiervoor bedoelde uitkering niet of niet geheel kan plaatsvinden omdat de winst dat niet toelaat, kan de directie onder goedkeuring van de Raad van Commissarissen besluiten dat het tekort wordt uitgekeerd ten laste van de vrij uitkeerbare reserves. Besluit de directie hiertoe niet, dan wordt het tekort ten laste van de winst van de volgende jaren uitgekeerd. In dat geval wordt, steeds zoveel mogelijk, eerst aan de houder van het bijzonder aandeel en aan de houders van preferente aandelen uitgekeerd het aan hen toekomende achterstallige dividend en daarna het aan hen toekomende dividend over het laatst verstreken boekjaar.</w:t>
      </w:r>
    </w:p>
    <w:p w:rsidR="009F5891" w:rsidRDefault="009F5891" w:rsidP="003A68CC">
      <w:pPr>
        <w:autoSpaceDE w:val="0"/>
        <w:autoSpaceDN w:val="0"/>
        <w:adjustRightInd w:val="0"/>
        <w:ind w:left="1416"/>
        <w:rPr>
          <w:rFonts w:asciiTheme="minorHAnsi" w:eastAsiaTheme="minorHAnsi" w:hAnsiTheme="minorHAnsi" w:cstheme="minorHAnsi"/>
          <w:sz w:val="16"/>
          <w:szCs w:val="16"/>
          <w:lang w:eastAsia="en-US"/>
        </w:rPr>
      </w:pPr>
    </w:p>
    <w:p w:rsidR="009F5891" w:rsidRDefault="009F5891" w:rsidP="009F5891">
      <w:pPr>
        <w:spacing w:before="240" w:after="360"/>
        <w:rPr>
          <w:rFonts w:asciiTheme="minorHAnsi" w:hAnsiTheme="minorHAnsi" w:cstheme="minorHAnsi"/>
          <w:color w:val="000000"/>
          <w:sz w:val="22"/>
          <w:szCs w:val="22"/>
        </w:rPr>
      </w:pPr>
      <w:r>
        <w:rPr>
          <w:rFonts w:asciiTheme="minorHAnsi" w:hAnsiTheme="minorHAnsi" w:cstheme="minorHAnsi"/>
          <w:color w:val="000000"/>
          <w:sz w:val="22"/>
          <w:szCs w:val="22"/>
        </w:rPr>
        <w:t xml:space="preserve">RvC Corporate </w:t>
      </w:r>
      <w:proofErr w:type="spellStart"/>
      <w:r>
        <w:rPr>
          <w:rFonts w:asciiTheme="minorHAnsi" w:hAnsiTheme="minorHAnsi" w:cstheme="minorHAnsi"/>
          <w:color w:val="000000"/>
          <w:sz w:val="22"/>
          <w:szCs w:val="22"/>
        </w:rPr>
        <w:t>Governance</w:t>
      </w:r>
      <w:proofErr w:type="spellEnd"/>
      <w:r>
        <w:rPr>
          <w:rFonts w:asciiTheme="minorHAnsi" w:hAnsiTheme="minorHAnsi" w:cstheme="minorHAnsi"/>
          <w:color w:val="000000"/>
          <w:sz w:val="22"/>
          <w:szCs w:val="22"/>
        </w:rPr>
        <w:t xml:space="preserve"> Verklaring</w:t>
      </w:r>
    </w:p>
    <w:p w:rsidR="009F5891" w:rsidRPr="009F5891" w:rsidRDefault="009F5891" w:rsidP="009F5891">
      <w:pPr>
        <w:spacing w:before="240" w:after="360"/>
        <w:rPr>
          <w:rFonts w:asciiTheme="minorHAnsi" w:hAnsiTheme="minorHAnsi" w:cstheme="minorHAnsi"/>
          <w:color w:val="000000"/>
          <w:sz w:val="22"/>
          <w:szCs w:val="22"/>
        </w:rPr>
      </w:pPr>
      <w:r w:rsidRPr="009F5891">
        <w:rPr>
          <w:rFonts w:asciiTheme="minorHAnsi" w:hAnsiTheme="minorHAnsi" w:cstheme="minorHAnsi"/>
          <w:color w:val="000000"/>
          <w:sz w:val="22"/>
          <w:szCs w:val="22"/>
        </w:rPr>
        <w:t xml:space="preserve">Aan de gewone aandelen zijn geen bijzonder winstrechten of zeggenschapsrechten verbonden. Het bijzonder aandeel wordt gehouden door de vereniging </w:t>
      </w:r>
      <w:proofErr w:type="spellStart"/>
      <w:r w:rsidRPr="009F5891">
        <w:rPr>
          <w:rFonts w:asciiTheme="minorHAnsi" w:hAnsiTheme="minorHAnsi" w:cstheme="minorHAnsi"/>
          <w:color w:val="000000"/>
          <w:sz w:val="22"/>
          <w:szCs w:val="22"/>
        </w:rPr>
        <w:t>Amsterdamsche</w:t>
      </w:r>
      <w:proofErr w:type="spellEnd"/>
      <w:r w:rsidRPr="009F5891">
        <w:rPr>
          <w:rFonts w:asciiTheme="minorHAnsi" w:hAnsiTheme="minorHAnsi" w:cstheme="minorHAnsi"/>
          <w:color w:val="000000"/>
          <w:sz w:val="22"/>
          <w:szCs w:val="22"/>
        </w:rPr>
        <w:t xml:space="preserve"> Football Club “Ajax”. Aan de </w:t>
      </w:r>
      <w:r w:rsidRPr="009F5891">
        <w:rPr>
          <w:rFonts w:asciiTheme="minorHAnsi" w:hAnsiTheme="minorHAnsi" w:cstheme="minorHAnsi"/>
          <w:color w:val="000000"/>
          <w:sz w:val="22"/>
          <w:szCs w:val="22"/>
        </w:rPr>
        <w:lastRenderedPageBreak/>
        <w:t>goedkeuring van de houder van het bijzonder aandeel zijn onderworpen besluiten van de directie van de vennootschap omtrent:</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proofErr w:type="gramStart"/>
      <w:r w:rsidRPr="009F5891">
        <w:rPr>
          <w:rFonts w:asciiTheme="minorHAnsi" w:hAnsiTheme="minorHAnsi" w:cstheme="minorHAnsi"/>
          <w:color w:val="000000"/>
          <w:sz w:val="22"/>
          <w:szCs w:val="22"/>
        </w:rPr>
        <w:t>a.wijziging</w:t>
      </w:r>
      <w:proofErr w:type="spellEnd"/>
      <w:proofErr w:type="gramEnd"/>
      <w:r w:rsidRPr="009F5891">
        <w:rPr>
          <w:rFonts w:asciiTheme="minorHAnsi" w:hAnsiTheme="minorHAnsi" w:cstheme="minorHAnsi"/>
          <w:color w:val="000000"/>
          <w:sz w:val="22"/>
          <w:szCs w:val="22"/>
        </w:rPr>
        <w:t xml:space="preserve"> van een handelsnaam van de vennootschap;</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proofErr w:type="gramStart"/>
      <w:r w:rsidRPr="009F5891">
        <w:rPr>
          <w:rFonts w:asciiTheme="minorHAnsi" w:hAnsiTheme="minorHAnsi" w:cstheme="minorHAnsi"/>
          <w:color w:val="000000"/>
          <w:sz w:val="22"/>
          <w:szCs w:val="22"/>
        </w:rPr>
        <w:t>b.wijziging</w:t>
      </w:r>
      <w:proofErr w:type="spellEnd"/>
      <w:proofErr w:type="gramEnd"/>
      <w:r w:rsidRPr="009F5891">
        <w:rPr>
          <w:rFonts w:asciiTheme="minorHAnsi" w:hAnsiTheme="minorHAnsi" w:cstheme="minorHAnsi"/>
          <w:color w:val="000000"/>
          <w:sz w:val="22"/>
          <w:szCs w:val="22"/>
        </w:rPr>
        <w:t xml:space="preserve"> van de bestaande kernactiviteiten van de vennootschap;</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r w:rsidRPr="009F5891">
        <w:rPr>
          <w:rFonts w:asciiTheme="minorHAnsi" w:hAnsiTheme="minorHAnsi" w:cstheme="minorHAnsi"/>
          <w:color w:val="000000"/>
          <w:sz w:val="22"/>
          <w:szCs w:val="22"/>
        </w:rPr>
        <w:t>c.wijziging</w:t>
      </w:r>
      <w:proofErr w:type="spellEnd"/>
      <w:r w:rsidRPr="009F5891">
        <w:rPr>
          <w:rFonts w:asciiTheme="minorHAnsi" w:hAnsiTheme="minorHAnsi" w:cstheme="minorHAnsi"/>
          <w:color w:val="000000"/>
          <w:sz w:val="22"/>
          <w:szCs w:val="22"/>
        </w:rPr>
        <w:t xml:space="preserve"> van het logo, de clubkleuren rood-wit en/of het tenue gedragen tijdens thuiswedstrijden bestaande uit een wit shirt met verticaal rode baan over borst en rug, rode kraag en rode mouwomslagen, alsmede een witte broek en witte kousen met rode omslag;</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r w:rsidRPr="009F5891">
        <w:rPr>
          <w:rFonts w:asciiTheme="minorHAnsi" w:hAnsiTheme="minorHAnsi" w:cstheme="minorHAnsi"/>
          <w:color w:val="000000"/>
          <w:sz w:val="22"/>
          <w:szCs w:val="22"/>
        </w:rPr>
        <w:t>d.wijziging</w:t>
      </w:r>
      <w:proofErr w:type="spellEnd"/>
      <w:r w:rsidRPr="009F5891">
        <w:rPr>
          <w:rFonts w:asciiTheme="minorHAnsi" w:hAnsiTheme="minorHAnsi" w:cstheme="minorHAnsi"/>
          <w:color w:val="000000"/>
          <w:sz w:val="22"/>
          <w:szCs w:val="22"/>
        </w:rPr>
        <w:t xml:space="preserve"> van de bestaande stadionlocatie te Amsterdam;</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proofErr w:type="gramStart"/>
      <w:r w:rsidRPr="009F5891">
        <w:rPr>
          <w:rFonts w:asciiTheme="minorHAnsi" w:hAnsiTheme="minorHAnsi" w:cstheme="minorHAnsi"/>
          <w:color w:val="000000"/>
          <w:sz w:val="22"/>
          <w:szCs w:val="22"/>
        </w:rPr>
        <w:t>e.wijziging</w:t>
      </w:r>
      <w:proofErr w:type="spellEnd"/>
      <w:proofErr w:type="gramEnd"/>
      <w:r w:rsidRPr="009F5891">
        <w:rPr>
          <w:rFonts w:asciiTheme="minorHAnsi" w:hAnsiTheme="minorHAnsi" w:cstheme="minorHAnsi"/>
          <w:color w:val="000000"/>
          <w:sz w:val="22"/>
          <w:szCs w:val="22"/>
        </w:rPr>
        <w:t xml:space="preserve"> van de structuur van de op topvoetbal gerichte jeugdopleiding alsmede wijzigingen in de ten behoeve van deze jeugdopleiding gebruikte accommodaties en faciliteiten;</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spellStart"/>
      <w:proofErr w:type="gramStart"/>
      <w:r w:rsidRPr="009F5891">
        <w:rPr>
          <w:rFonts w:asciiTheme="minorHAnsi" w:hAnsiTheme="minorHAnsi" w:cstheme="minorHAnsi"/>
          <w:color w:val="000000"/>
          <w:sz w:val="22"/>
          <w:szCs w:val="22"/>
        </w:rPr>
        <w:t>f.weze</w:t>
      </w:r>
      <w:r w:rsidR="00307E55">
        <w:rPr>
          <w:rFonts w:asciiTheme="minorHAnsi" w:hAnsiTheme="minorHAnsi" w:cstheme="minorHAnsi"/>
          <w:color w:val="000000"/>
          <w:sz w:val="22"/>
          <w:szCs w:val="22"/>
        </w:rPr>
        <w:t>n</w:t>
      </w:r>
      <w:r w:rsidRPr="009F5891">
        <w:rPr>
          <w:rFonts w:asciiTheme="minorHAnsi" w:hAnsiTheme="minorHAnsi" w:cstheme="minorHAnsi"/>
          <w:color w:val="000000"/>
          <w:sz w:val="22"/>
          <w:szCs w:val="22"/>
        </w:rPr>
        <w:t>lijke</w:t>
      </w:r>
      <w:proofErr w:type="spellEnd"/>
      <w:proofErr w:type="gramEnd"/>
      <w:r w:rsidRPr="009F5891">
        <w:rPr>
          <w:rFonts w:asciiTheme="minorHAnsi" w:hAnsiTheme="minorHAnsi" w:cstheme="minorHAnsi"/>
          <w:color w:val="000000"/>
          <w:sz w:val="22"/>
          <w:szCs w:val="22"/>
        </w:rPr>
        <w:t xml:space="preserve"> wijzigingen in de structuur van het functioneren van jeugd- en amateurelftallen;</w:t>
      </w:r>
    </w:p>
    <w:p w:rsidR="009F5891" w:rsidRPr="009F5891" w:rsidRDefault="009F5891" w:rsidP="009F5891">
      <w:pPr>
        <w:numPr>
          <w:ilvl w:val="0"/>
          <w:numId w:val="6"/>
        </w:numPr>
        <w:spacing w:before="100" w:beforeAutospacing="1" w:after="100" w:afterAutospacing="1"/>
        <w:ind w:left="210"/>
        <w:rPr>
          <w:rFonts w:asciiTheme="minorHAnsi" w:hAnsiTheme="minorHAnsi" w:cstheme="minorHAnsi"/>
          <w:color w:val="000000"/>
          <w:sz w:val="22"/>
          <w:szCs w:val="22"/>
        </w:rPr>
      </w:pPr>
      <w:proofErr w:type="gramStart"/>
      <w:r w:rsidRPr="009F5891">
        <w:rPr>
          <w:rFonts w:asciiTheme="minorHAnsi" w:hAnsiTheme="minorHAnsi" w:cstheme="minorHAnsi"/>
          <w:color w:val="000000"/>
          <w:sz w:val="22"/>
          <w:szCs w:val="22"/>
        </w:rPr>
        <w:t>g</w:t>
      </w:r>
      <w:proofErr w:type="gramEnd"/>
      <w:r w:rsidRPr="009F5891">
        <w:rPr>
          <w:rFonts w:asciiTheme="minorHAnsi" w:hAnsiTheme="minorHAnsi" w:cstheme="minorHAnsi"/>
          <w:color w:val="000000"/>
          <w:sz w:val="22"/>
          <w:szCs w:val="22"/>
        </w:rPr>
        <w:t xml:space="preserve">.de verstrekking, wijziging en intrekking van licenties en </w:t>
      </w:r>
      <w:proofErr w:type="spellStart"/>
      <w:r w:rsidRPr="009F5891">
        <w:rPr>
          <w:rFonts w:asciiTheme="minorHAnsi" w:hAnsiTheme="minorHAnsi" w:cstheme="minorHAnsi"/>
          <w:color w:val="000000"/>
          <w:sz w:val="22"/>
          <w:szCs w:val="22"/>
        </w:rPr>
        <w:t>sublicenties</w:t>
      </w:r>
      <w:proofErr w:type="spellEnd"/>
      <w:r w:rsidRPr="009F5891">
        <w:rPr>
          <w:rFonts w:asciiTheme="minorHAnsi" w:hAnsiTheme="minorHAnsi" w:cstheme="minorHAnsi"/>
          <w:color w:val="000000"/>
          <w:sz w:val="22"/>
          <w:szCs w:val="22"/>
        </w:rPr>
        <w:t>;</w:t>
      </w:r>
    </w:p>
    <w:p w:rsidR="009F5891" w:rsidRPr="009F5891" w:rsidRDefault="009F5891" w:rsidP="009F5891">
      <w:pPr>
        <w:numPr>
          <w:ilvl w:val="0"/>
          <w:numId w:val="6"/>
        </w:numPr>
        <w:spacing w:before="100" w:beforeAutospacing="1" w:after="240"/>
        <w:ind w:left="210"/>
        <w:rPr>
          <w:rFonts w:asciiTheme="minorHAnsi" w:hAnsiTheme="minorHAnsi" w:cstheme="minorHAnsi"/>
          <w:color w:val="000000"/>
          <w:sz w:val="22"/>
          <w:szCs w:val="22"/>
        </w:rPr>
      </w:pPr>
      <w:proofErr w:type="spellStart"/>
      <w:proofErr w:type="gramStart"/>
      <w:r w:rsidRPr="009F5891">
        <w:rPr>
          <w:rFonts w:asciiTheme="minorHAnsi" w:hAnsiTheme="minorHAnsi" w:cstheme="minorHAnsi"/>
          <w:color w:val="000000"/>
          <w:sz w:val="22"/>
          <w:szCs w:val="22"/>
        </w:rPr>
        <w:t>h.het</w:t>
      </w:r>
      <w:proofErr w:type="spellEnd"/>
      <w:proofErr w:type="gramEnd"/>
      <w:r w:rsidRPr="009F5891">
        <w:rPr>
          <w:rFonts w:asciiTheme="minorHAnsi" w:hAnsiTheme="minorHAnsi" w:cstheme="minorHAnsi"/>
          <w:color w:val="000000"/>
          <w:sz w:val="22"/>
          <w:szCs w:val="22"/>
        </w:rPr>
        <w:t xml:space="preserve"> doen van een voorstel tot statutenwijziging.</w:t>
      </w:r>
    </w:p>
    <w:p w:rsidR="009F5891" w:rsidRPr="009F5891" w:rsidRDefault="009F5891" w:rsidP="00307E55">
      <w:pPr>
        <w:spacing w:before="100" w:beforeAutospacing="1" w:after="100" w:afterAutospacing="1"/>
        <w:ind w:left="360"/>
        <w:rPr>
          <w:rFonts w:asciiTheme="minorHAnsi" w:hAnsiTheme="minorHAnsi" w:cstheme="minorHAnsi"/>
          <w:color w:val="000000"/>
          <w:sz w:val="22"/>
          <w:szCs w:val="22"/>
        </w:rPr>
      </w:pPr>
      <w:r w:rsidRPr="009F5891">
        <w:rPr>
          <w:rFonts w:asciiTheme="minorHAnsi" w:hAnsiTheme="minorHAnsi" w:cstheme="minorHAnsi"/>
          <w:color w:val="000000"/>
          <w:sz w:val="22"/>
          <w:szCs w:val="22"/>
        </w:rPr>
        <w:t>1.bPreferente aandelen</w:t>
      </w:r>
      <w:r w:rsidRPr="009F5891">
        <w:rPr>
          <w:rFonts w:asciiTheme="minorHAnsi" w:hAnsiTheme="minorHAnsi" w:cstheme="minorHAnsi"/>
          <w:color w:val="000000"/>
          <w:sz w:val="22"/>
          <w:szCs w:val="22"/>
        </w:rPr>
        <w:br/>
        <w:t>Per balansdatum waren geen preferente aandelen uitgegeven. Preferente aandelen worden uitsluitend uitgegeven voor financieringsdoeleinden. Naast stemrecht geven de preferente aandelen recht op een preferent dividend uit de winst.</w:t>
      </w:r>
    </w:p>
    <w:p w:rsidR="009F5891" w:rsidRPr="009F5891" w:rsidRDefault="009F5891" w:rsidP="009F5891">
      <w:pPr>
        <w:numPr>
          <w:ilvl w:val="0"/>
          <w:numId w:val="8"/>
        </w:numPr>
        <w:spacing w:before="100" w:beforeAutospacing="1" w:after="100" w:afterAutospacing="1"/>
        <w:ind w:left="210"/>
        <w:rPr>
          <w:rFonts w:asciiTheme="minorHAnsi" w:hAnsiTheme="minorHAnsi" w:cstheme="minorHAnsi"/>
          <w:color w:val="000000"/>
          <w:sz w:val="22"/>
          <w:szCs w:val="22"/>
        </w:rPr>
      </w:pPr>
      <w:r w:rsidRPr="009F5891">
        <w:rPr>
          <w:rFonts w:asciiTheme="minorHAnsi" w:hAnsiTheme="minorHAnsi" w:cstheme="minorHAnsi"/>
          <w:color w:val="000000"/>
          <w:sz w:val="22"/>
          <w:szCs w:val="22"/>
        </w:rPr>
        <w:t>2.Beperking door de vennootschap van de overdracht van aandelen.</w:t>
      </w:r>
    </w:p>
    <w:p w:rsidR="009F5891" w:rsidRPr="009F5891" w:rsidRDefault="009F5891" w:rsidP="009F5891">
      <w:pPr>
        <w:pStyle w:val="Lijstalinea"/>
        <w:numPr>
          <w:ilvl w:val="0"/>
          <w:numId w:val="8"/>
        </w:numPr>
        <w:spacing w:before="240" w:after="360"/>
        <w:rPr>
          <w:rFonts w:asciiTheme="minorHAnsi" w:hAnsiTheme="minorHAnsi" w:cstheme="minorHAnsi"/>
          <w:color w:val="000000"/>
          <w:sz w:val="22"/>
          <w:szCs w:val="22"/>
        </w:rPr>
      </w:pPr>
      <w:proofErr w:type="gramStart"/>
      <w:r w:rsidRPr="009F5891">
        <w:rPr>
          <w:rFonts w:asciiTheme="minorHAnsi" w:hAnsiTheme="minorHAnsi" w:cstheme="minorHAnsi"/>
          <w:color w:val="000000"/>
          <w:sz w:val="22"/>
          <w:szCs w:val="22"/>
        </w:rPr>
        <w:t>in</w:t>
      </w:r>
      <w:proofErr w:type="gramEnd"/>
      <w:r w:rsidRPr="009F5891">
        <w:rPr>
          <w:rFonts w:asciiTheme="minorHAnsi" w:hAnsiTheme="minorHAnsi" w:cstheme="minorHAnsi"/>
          <w:color w:val="000000"/>
          <w:sz w:val="22"/>
          <w:szCs w:val="22"/>
        </w:rPr>
        <w:t xml:space="preserve"> de vennootschap gehouden door de navolgende </w:t>
      </w:r>
      <w:proofErr w:type="spellStart"/>
      <w:r w:rsidRPr="009F5891">
        <w:rPr>
          <w:rFonts w:asciiTheme="minorHAnsi" w:hAnsiTheme="minorHAnsi" w:cstheme="minorHAnsi"/>
          <w:color w:val="000000"/>
          <w:sz w:val="22"/>
          <w:szCs w:val="22"/>
        </w:rPr>
        <w:t>meldingsplichtigen</w:t>
      </w:r>
      <w:proofErr w:type="spellEnd"/>
      <w:r w:rsidRPr="009F5891">
        <w:rPr>
          <w:rFonts w:asciiTheme="minorHAnsi" w:hAnsiTheme="minorHAnsi" w:cstheme="minorHAnsi"/>
          <w:color w:val="000000"/>
          <w:sz w:val="22"/>
          <w:szCs w:val="22"/>
        </w:rPr>
        <w:t>:</w:t>
      </w:r>
    </w:p>
    <w:tbl>
      <w:tblPr>
        <w:tblW w:w="2500" w:type="pct"/>
        <w:tblCellMar>
          <w:left w:w="0" w:type="dxa"/>
          <w:right w:w="0" w:type="dxa"/>
        </w:tblCellMar>
        <w:tblLook w:val="04A0" w:firstRow="1" w:lastRow="0" w:firstColumn="1" w:lastColumn="0" w:noHBand="0" w:noVBand="1"/>
      </w:tblPr>
      <w:tblGrid>
        <w:gridCol w:w="3506"/>
        <w:gridCol w:w="1027"/>
      </w:tblGrid>
      <w:tr w:rsidR="009F5891" w:rsidRPr="009F5891" w:rsidTr="009F5891">
        <w:tc>
          <w:tcPr>
            <w:tcW w:w="3962" w:type="dxa"/>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Vereniging AFC Ajax</w:t>
            </w:r>
          </w:p>
        </w:tc>
        <w:tc>
          <w:tcPr>
            <w:tcW w:w="1093" w:type="dxa"/>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73,00%</w:t>
            </w:r>
          </w:p>
        </w:tc>
      </w:tr>
      <w:tr w:rsidR="009F5891" w:rsidRPr="009F5891" w:rsidTr="009F5891">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NN Group N.V.</w:t>
            </w:r>
          </w:p>
        </w:tc>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5,29%</w:t>
            </w:r>
          </w:p>
        </w:tc>
      </w:tr>
      <w:tr w:rsidR="009F5891" w:rsidRPr="009F5891" w:rsidTr="009F5891">
        <w:tc>
          <w:tcPr>
            <w:tcW w:w="0" w:type="auto"/>
            <w:hideMark/>
          </w:tcPr>
          <w:p w:rsidR="009F5891" w:rsidRPr="009F5891" w:rsidRDefault="009F5891" w:rsidP="009F5891">
            <w:pPr>
              <w:rPr>
                <w:rFonts w:asciiTheme="minorHAnsi" w:hAnsiTheme="minorHAnsi" w:cstheme="minorHAnsi"/>
                <w:color w:val="000000"/>
                <w:sz w:val="22"/>
                <w:szCs w:val="22"/>
              </w:rPr>
            </w:pPr>
            <w:proofErr w:type="spellStart"/>
            <w:r w:rsidRPr="009F5891">
              <w:rPr>
                <w:rFonts w:asciiTheme="minorHAnsi" w:hAnsiTheme="minorHAnsi" w:cstheme="minorHAnsi"/>
                <w:color w:val="000000"/>
                <w:sz w:val="22"/>
                <w:szCs w:val="22"/>
              </w:rPr>
              <w:t>Invesco</w:t>
            </w:r>
            <w:proofErr w:type="spellEnd"/>
            <w:r w:rsidRPr="009F5891">
              <w:rPr>
                <w:rFonts w:asciiTheme="minorHAnsi" w:hAnsiTheme="minorHAnsi" w:cstheme="minorHAnsi"/>
                <w:color w:val="000000"/>
                <w:sz w:val="22"/>
                <w:szCs w:val="22"/>
              </w:rPr>
              <w:t xml:space="preserve"> Ltd.</w:t>
            </w:r>
          </w:p>
        </w:tc>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4,99%</w:t>
            </w:r>
          </w:p>
        </w:tc>
      </w:tr>
      <w:tr w:rsidR="009F5891" w:rsidRPr="009F5891" w:rsidTr="009F5891">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 xml:space="preserve">M.C.M. Strating - Schulte </w:t>
            </w:r>
            <w:proofErr w:type="spellStart"/>
            <w:r w:rsidRPr="009F5891">
              <w:rPr>
                <w:rFonts w:asciiTheme="minorHAnsi" w:hAnsiTheme="minorHAnsi" w:cstheme="minorHAnsi"/>
                <w:color w:val="000000"/>
                <w:sz w:val="22"/>
                <w:szCs w:val="22"/>
              </w:rPr>
              <w:t>Fischedick</w:t>
            </w:r>
            <w:proofErr w:type="spellEnd"/>
          </w:p>
        </w:tc>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3,01%</w:t>
            </w:r>
          </w:p>
        </w:tc>
      </w:tr>
      <w:tr w:rsidR="009F5891" w:rsidRPr="009F5891" w:rsidTr="009F5891">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R.E. Strating</w:t>
            </w:r>
          </w:p>
        </w:tc>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3,01%</w:t>
            </w:r>
          </w:p>
        </w:tc>
      </w:tr>
      <w:tr w:rsidR="009F5891" w:rsidRPr="009F5891" w:rsidTr="009F5891">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I.E. Strating</w:t>
            </w:r>
          </w:p>
        </w:tc>
        <w:tc>
          <w:tcPr>
            <w:tcW w:w="0" w:type="auto"/>
            <w:hideMark/>
          </w:tcPr>
          <w:p w:rsidR="009F5891" w:rsidRPr="009F5891" w:rsidRDefault="009F5891" w:rsidP="009F5891">
            <w:pPr>
              <w:rPr>
                <w:rFonts w:asciiTheme="minorHAnsi" w:hAnsiTheme="minorHAnsi" w:cstheme="minorHAnsi"/>
                <w:color w:val="000000"/>
                <w:sz w:val="22"/>
                <w:szCs w:val="22"/>
              </w:rPr>
            </w:pPr>
            <w:r w:rsidRPr="009F5891">
              <w:rPr>
                <w:rFonts w:asciiTheme="minorHAnsi" w:hAnsiTheme="minorHAnsi" w:cstheme="minorHAnsi"/>
                <w:color w:val="000000"/>
                <w:sz w:val="22"/>
                <w:szCs w:val="22"/>
              </w:rPr>
              <w:t>3,01%</w:t>
            </w:r>
          </w:p>
        </w:tc>
      </w:tr>
    </w:tbl>
    <w:p w:rsidR="009F5891" w:rsidRDefault="009F5891" w:rsidP="003A68CC">
      <w:pPr>
        <w:autoSpaceDE w:val="0"/>
        <w:autoSpaceDN w:val="0"/>
        <w:adjustRightInd w:val="0"/>
        <w:ind w:left="1416"/>
        <w:rPr>
          <w:rFonts w:asciiTheme="minorHAnsi" w:eastAsiaTheme="minorHAnsi" w:hAnsiTheme="minorHAnsi" w:cstheme="minorHAnsi"/>
          <w:sz w:val="22"/>
          <w:szCs w:val="22"/>
          <w:lang w:eastAsia="en-US"/>
        </w:rPr>
      </w:pPr>
    </w:p>
    <w:p w:rsidR="00307E55" w:rsidRDefault="00307E55" w:rsidP="003A68CC">
      <w:pPr>
        <w:autoSpaceDE w:val="0"/>
        <w:autoSpaceDN w:val="0"/>
        <w:adjustRightInd w:val="0"/>
        <w:ind w:left="1416"/>
        <w:rPr>
          <w:rFonts w:asciiTheme="minorHAnsi" w:eastAsiaTheme="minorHAnsi" w:hAnsiTheme="minorHAnsi" w:cstheme="minorHAnsi"/>
          <w:sz w:val="22"/>
          <w:szCs w:val="22"/>
          <w:lang w:eastAsia="en-US"/>
        </w:rPr>
      </w:pPr>
    </w:p>
    <w:p w:rsidR="00307E55" w:rsidRDefault="00307E55" w:rsidP="00307E55">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Koers 2-07-2018 </w:t>
      </w:r>
      <w:r w:rsidR="00DD5347">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11,95</w:t>
      </w:r>
    </w:p>
    <w:p w:rsidR="00E02594" w:rsidRDefault="00E02594" w:rsidP="00307E55">
      <w:pPr>
        <w:autoSpaceDE w:val="0"/>
        <w:autoSpaceDN w:val="0"/>
        <w:adjustRightInd w:val="0"/>
        <w:rPr>
          <w:rFonts w:asciiTheme="minorHAnsi" w:eastAsiaTheme="minorHAnsi" w:hAnsiTheme="minorHAnsi" w:cstheme="minorHAnsi"/>
          <w:sz w:val="22"/>
          <w:szCs w:val="22"/>
          <w:lang w:eastAsia="en-US"/>
        </w:rPr>
      </w:pPr>
    </w:p>
    <w:p w:rsidR="00E02594" w:rsidRDefault="00E02594" w:rsidP="00307E55">
      <w:pPr>
        <w:autoSpaceDE w:val="0"/>
        <w:autoSpaceDN w:val="0"/>
        <w:adjustRightInd w:val="0"/>
        <w:rPr>
          <w:rFonts w:asciiTheme="minorHAnsi" w:eastAsiaTheme="minorHAnsi" w:hAnsiTheme="minorHAnsi" w:cstheme="minorHAnsi"/>
          <w:sz w:val="22"/>
          <w:szCs w:val="22"/>
          <w:lang w:eastAsia="en-US"/>
        </w:rPr>
      </w:pPr>
      <w:proofErr w:type="gramStart"/>
      <w:r>
        <w:rPr>
          <w:rFonts w:asciiTheme="minorHAnsi" w:eastAsiaTheme="minorHAnsi" w:hAnsiTheme="minorHAnsi" w:cstheme="minorHAnsi"/>
          <w:sz w:val="22"/>
          <w:szCs w:val="22"/>
          <w:lang w:eastAsia="en-US"/>
        </w:rPr>
        <w:t>AVA november</w:t>
      </w:r>
      <w:proofErr w:type="gramEnd"/>
      <w:r>
        <w:rPr>
          <w:rFonts w:asciiTheme="minorHAnsi" w:eastAsiaTheme="minorHAnsi" w:hAnsiTheme="minorHAnsi" w:cstheme="minorHAnsi"/>
          <w:sz w:val="22"/>
          <w:szCs w:val="22"/>
          <w:lang w:eastAsia="en-US"/>
        </w:rPr>
        <w:t xml:space="preserve"> 2018</w:t>
      </w:r>
    </w:p>
    <w:p w:rsidR="00E02594" w:rsidRDefault="00E02594" w:rsidP="00307E55">
      <w:pPr>
        <w:autoSpaceDE w:val="0"/>
        <w:autoSpaceDN w:val="0"/>
        <w:adjustRightInd w:val="0"/>
        <w:rPr>
          <w:rFonts w:asciiTheme="minorHAnsi" w:eastAsiaTheme="minorHAnsi" w:hAnsiTheme="minorHAnsi" w:cstheme="minorHAnsi"/>
          <w:sz w:val="22"/>
          <w:szCs w:val="22"/>
          <w:lang w:eastAsia="en-US"/>
        </w:rPr>
      </w:pPr>
    </w:p>
    <w:p w:rsidR="00E02594" w:rsidRDefault="00E02594" w:rsidP="00E02594">
      <w:pPr>
        <w:autoSpaceDE w:val="0"/>
        <w:autoSpaceDN w:val="0"/>
        <w:adjustRightInd w:val="0"/>
        <w:rPr>
          <w:rFonts w:eastAsiaTheme="minorHAnsi"/>
          <w:sz w:val="21"/>
          <w:szCs w:val="21"/>
          <w:lang w:eastAsia="en-US"/>
        </w:rPr>
      </w:pPr>
      <w:r>
        <w:rPr>
          <w:rFonts w:eastAsiaTheme="minorHAnsi"/>
          <w:sz w:val="21"/>
          <w:szCs w:val="21"/>
          <w:lang w:eastAsia="en-US"/>
        </w:rPr>
        <w:t xml:space="preserve">De heer </w:t>
      </w:r>
      <w:proofErr w:type="spellStart"/>
      <w:r>
        <w:rPr>
          <w:rFonts w:eastAsiaTheme="minorHAnsi"/>
          <w:sz w:val="21"/>
          <w:szCs w:val="21"/>
          <w:lang w:eastAsia="en-US"/>
        </w:rPr>
        <w:t>Spanjer</w:t>
      </w:r>
      <w:proofErr w:type="spellEnd"/>
      <w:r>
        <w:rPr>
          <w:rFonts w:eastAsiaTheme="minorHAnsi"/>
          <w:sz w:val="21"/>
          <w:szCs w:val="21"/>
          <w:lang w:eastAsia="en-US"/>
        </w:rPr>
        <w:t xml:space="preserve"> </w:t>
      </w:r>
      <w:r>
        <w:rPr>
          <w:rFonts w:ascii="˚FÀ˛" w:eastAsiaTheme="minorHAnsi" w:hAnsi="˚FÀ˛" w:cs="˚FÀ˛"/>
          <w:sz w:val="21"/>
          <w:szCs w:val="21"/>
          <w:lang w:eastAsia="en-US"/>
        </w:rPr>
        <w:t>wijst op de term ‘niet controlerend belang’ op pag</w:t>
      </w:r>
      <w:r>
        <w:rPr>
          <w:rFonts w:eastAsiaTheme="minorHAnsi"/>
          <w:sz w:val="21"/>
          <w:szCs w:val="21"/>
          <w:lang w:eastAsia="en-US"/>
        </w:rPr>
        <w:t>ina</w:t>
      </w:r>
      <w:r>
        <w:rPr>
          <w:rFonts w:ascii="˚FÀ˛" w:eastAsiaTheme="minorHAnsi" w:hAnsi="˚FÀ˛" w:cs="˚FÀ˛"/>
          <w:sz w:val="21"/>
          <w:szCs w:val="21"/>
          <w:lang w:eastAsia="en-US"/>
        </w:rPr>
        <w:t xml:space="preserve">’s </w:t>
      </w:r>
      <w:r>
        <w:rPr>
          <w:rFonts w:eastAsiaTheme="minorHAnsi"/>
          <w:sz w:val="21"/>
          <w:szCs w:val="21"/>
          <w:lang w:eastAsia="en-US"/>
        </w:rPr>
        <w:t>59 en 60. Het gaat</w:t>
      </w:r>
    </w:p>
    <w:p w:rsidR="00E02594" w:rsidRDefault="00E02594" w:rsidP="00E02594">
      <w:pPr>
        <w:autoSpaceDE w:val="0"/>
        <w:autoSpaceDN w:val="0"/>
        <w:adjustRightInd w:val="0"/>
        <w:rPr>
          <w:rFonts w:eastAsiaTheme="minorHAnsi"/>
          <w:sz w:val="21"/>
          <w:szCs w:val="21"/>
          <w:lang w:eastAsia="en-US"/>
        </w:rPr>
      </w:pPr>
      <w:proofErr w:type="gramStart"/>
      <w:r>
        <w:rPr>
          <w:rFonts w:eastAsiaTheme="minorHAnsi"/>
          <w:sz w:val="21"/>
          <w:szCs w:val="21"/>
          <w:lang w:eastAsia="en-US"/>
        </w:rPr>
        <w:t>om</w:t>
      </w:r>
      <w:proofErr w:type="gramEnd"/>
      <w:r>
        <w:rPr>
          <w:rFonts w:eastAsiaTheme="minorHAnsi"/>
          <w:sz w:val="21"/>
          <w:szCs w:val="21"/>
          <w:lang w:eastAsia="en-US"/>
        </w:rPr>
        <w:t xml:space="preserve"> een bedrag van </w:t>
      </w:r>
      <w:r>
        <w:rPr>
          <w:rFonts w:ascii="˚FÀ˛" w:eastAsiaTheme="minorHAnsi" w:hAnsi="˚FÀ˛" w:cs="˚FÀ˛"/>
          <w:sz w:val="21"/>
          <w:szCs w:val="21"/>
          <w:lang w:eastAsia="en-US"/>
        </w:rPr>
        <w:t xml:space="preserve">€ </w:t>
      </w:r>
      <w:r>
        <w:rPr>
          <w:rFonts w:eastAsiaTheme="minorHAnsi"/>
          <w:sz w:val="21"/>
          <w:szCs w:val="21"/>
          <w:lang w:eastAsia="en-US"/>
        </w:rPr>
        <w:t xml:space="preserve">640.000 en in het voorgaande jaar om </w:t>
      </w:r>
      <w:r>
        <w:rPr>
          <w:rFonts w:ascii="˚FÀ˛" w:eastAsiaTheme="minorHAnsi" w:hAnsi="˚FÀ˛" w:cs="˚FÀ˛"/>
          <w:sz w:val="21"/>
          <w:szCs w:val="21"/>
          <w:lang w:eastAsia="en-US"/>
        </w:rPr>
        <w:t xml:space="preserve">€ </w:t>
      </w:r>
      <w:r>
        <w:rPr>
          <w:rFonts w:eastAsiaTheme="minorHAnsi"/>
          <w:sz w:val="21"/>
          <w:szCs w:val="21"/>
          <w:lang w:eastAsia="en-US"/>
        </w:rPr>
        <w:t>431.000. Op pagina 60 gaat</w:t>
      </w:r>
    </w:p>
    <w:p w:rsidR="00E02594" w:rsidRDefault="00E02594" w:rsidP="00E02594">
      <w:pPr>
        <w:autoSpaceDE w:val="0"/>
        <w:autoSpaceDN w:val="0"/>
        <w:adjustRightInd w:val="0"/>
        <w:rPr>
          <w:rFonts w:ascii="˚FÀ˛" w:eastAsiaTheme="minorHAnsi" w:hAnsi="˚FÀ˛" w:cs="˚FÀ˛"/>
          <w:sz w:val="21"/>
          <w:szCs w:val="21"/>
          <w:lang w:eastAsia="en-US"/>
        </w:rPr>
      </w:pPr>
      <w:proofErr w:type="gramStart"/>
      <w:r>
        <w:rPr>
          <w:rFonts w:eastAsiaTheme="minorHAnsi"/>
          <w:sz w:val="21"/>
          <w:szCs w:val="21"/>
          <w:lang w:eastAsia="en-US"/>
        </w:rPr>
        <w:t>het</w:t>
      </w:r>
      <w:proofErr w:type="gramEnd"/>
      <w:r>
        <w:rPr>
          <w:rFonts w:eastAsiaTheme="minorHAnsi"/>
          <w:sz w:val="21"/>
          <w:szCs w:val="21"/>
          <w:lang w:eastAsia="en-US"/>
        </w:rPr>
        <w:t xml:space="preserve"> om </w:t>
      </w:r>
      <w:r>
        <w:rPr>
          <w:rFonts w:ascii="˚FÀ˛" w:eastAsiaTheme="minorHAnsi" w:hAnsi="˚FÀ˛" w:cs="˚FÀ˛"/>
          <w:sz w:val="21"/>
          <w:szCs w:val="21"/>
          <w:lang w:eastAsia="en-US"/>
        </w:rPr>
        <w:t xml:space="preserve">€ </w:t>
      </w:r>
      <w:r>
        <w:rPr>
          <w:rFonts w:eastAsiaTheme="minorHAnsi"/>
          <w:sz w:val="21"/>
          <w:szCs w:val="21"/>
          <w:lang w:eastAsia="en-US"/>
        </w:rPr>
        <w:t xml:space="preserve">247.000 en </w:t>
      </w:r>
      <w:r>
        <w:rPr>
          <w:rFonts w:ascii="˚FÀ˛" w:eastAsiaTheme="minorHAnsi" w:hAnsi="˚FÀ˛" w:cs="˚FÀ˛"/>
          <w:sz w:val="21"/>
          <w:szCs w:val="21"/>
          <w:lang w:eastAsia="en-US"/>
        </w:rPr>
        <w:t xml:space="preserve">€ </w:t>
      </w:r>
      <w:r>
        <w:rPr>
          <w:rFonts w:eastAsiaTheme="minorHAnsi"/>
          <w:sz w:val="21"/>
          <w:szCs w:val="21"/>
          <w:lang w:eastAsia="en-US"/>
        </w:rPr>
        <w:t>278.000. De vraag is w</w:t>
      </w:r>
      <w:r>
        <w:rPr>
          <w:rFonts w:ascii="˚FÀ˛" w:eastAsiaTheme="minorHAnsi" w:hAnsi="˚FÀ˛" w:cs="˚FÀ˛"/>
          <w:sz w:val="21"/>
          <w:szCs w:val="21"/>
          <w:lang w:eastAsia="en-US"/>
        </w:rPr>
        <w:t>at ‘niet controlerend belang’ betekent.</w:t>
      </w:r>
    </w:p>
    <w:p w:rsidR="00E02594" w:rsidRDefault="00E02594" w:rsidP="00E02594">
      <w:pPr>
        <w:autoSpaceDE w:val="0"/>
        <w:autoSpaceDN w:val="0"/>
        <w:adjustRightInd w:val="0"/>
        <w:rPr>
          <w:rFonts w:eastAsiaTheme="minorHAnsi"/>
          <w:sz w:val="21"/>
          <w:szCs w:val="21"/>
          <w:lang w:eastAsia="en-US"/>
        </w:rPr>
      </w:pPr>
      <w:r>
        <w:rPr>
          <w:rFonts w:eastAsiaTheme="minorHAnsi"/>
          <w:sz w:val="21"/>
          <w:szCs w:val="21"/>
          <w:lang w:eastAsia="en-US"/>
        </w:rPr>
        <w:t xml:space="preserve">De heer Slop licht toe dat </w:t>
      </w:r>
      <w:r>
        <w:rPr>
          <w:rFonts w:ascii="˚FÀ˛" w:eastAsiaTheme="minorHAnsi" w:hAnsi="˚FÀ˛" w:cs="˚FÀ˛"/>
          <w:sz w:val="21"/>
          <w:szCs w:val="21"/>
          <w:lang w:eastAsia="en-US"/>
        </w:rPr>
        <w:t>‘niet controlerend belang’ het m</w:t>
      </w:r>
      <w:r>
        <w:rPr>
          <w:rFonts w:eastAsiaTheme="minorHAnsi"/>
          <w:sz w:val="21"/>
          <w:szCs w:val="21"/>
          <w:lang w:eastAsia="en-US"/>
        </w:rPr>
        <w:t>inderheidsbelang is van 49% van</w:t>
      </w:r>
    </w:p>
    <w:p w:rsidR="00E02594" w:rsidRDefault="00E02594" w:rsidP="00E02594">
      <w:pPr>
        <w:autoSpaceDE w:val="0"/>
        <w:autoSpaceDN w:val="0"/>
        <w:adjustRightInd w:val="0"/>
        <w:rPr>
          <w:rFonts w:eastAsiaTheme="minorHAnsi"/>
          <w:sz w:val="21"/>
          <w:szCs w:val="21"/>
          <w:lang w:eastAsia="en-US"/>
        </w:rPr>
      </w:pPr>
      <w:proofErr w:type="gramStart"/>
      <w:r>
        <w:rPr>
          <w:rFonts w:eastAsiaTheme="minorHAnsi"/>
          <w:sz w:val="21"/>
          <w:szCs w:val="21"/>
          <w:lang w:eastAsia="en-US"/>
        </w:rPr>
        <w:t>de</w:t>
      </w:r>
      <w:proofErr w:type="gramEnd"/>
      <w:r>
        <w:rPr>
          <w:rFonts w:eastAsiaTheme="minorHAnsi"/>
          <w:sz w:val="21"/>
          <w:szCs w:val="21"/>
          <w:lang w:eastAsia="en-US"/>
        </w:rPr>
        <w:t xml:space="preserve"> andere aandeelhouder in Ajax Cape Town. Op pagina 59 betreft het de balanspositie;</w:t>
      </w:r>
    </w:p>
    <w:p w:rsidR="00E02594" w:rsidRDefault="00E02594" w:rsidP="00E02594">
      <w:pPr>
        <w:autoSpaceDE w:val="0"/>
        <w:autoSpaceDN w:val="0"/>
        <w:adjustRightInd w:val="0"/>
        <w:rPr>
          <w:rFonts w:eastAsiaTheme="minorHAnsi"/>
          <w:sz w:val="21"/>
          <w:szCs w:val="21"/>
          <w:lang w:eastAsia="en-US"/>
        </w:rPr>
      </w:pPr>
      <w:proofErr w:type="gramStart"/>
      <w:r>
        <w:rPr>
          <w:rFonts w:eastAsiaTheme="minorHAnsi"/>
          <w:sz w:val="21"/>
          <w:szCs w:val="21"/>
          <w:lang w:eastAsia="en-US"/>
        </w:rPr>
        <w:t>het</w:t>
      </w:r>
      <w:proofErr w:type="gramEnd"/>
      <w:r>
        <w:rPr>
          <w:rFonts w:eastAsiaTheme="minorHAnsi"/>
          <w:sz w:val="21"/>
          <w:szCs w:val="21"/>
          <w:lang w:eastAsia="en-US"/>
        </w:rPr>
        <w:t xml:space="preserve"> andere bedrag hangt samen met het resultaat in het boekjaar</w:t>
      </w:r>
    </w:p>
    <w:p w:rsidR="00B21DD3" w:rsidRDefault="00B21DD3" w:rsidP="00E02594">
      <w:pPr>
        <w:autoSpaceDE w:val="0"/>
        <w:autoSpaceDN w:val="0"/>
        <w:adjustRightInd w:val="0"/>
        <w:rPr>
          <w:rFonts w:eastAsiaTheme="minorHAnsi"/>
          <w:sz w:val="21"/>
          <w:szCs w:val="21"/>
          <w:lang w:eastAsia="en-US"/>
        </w:rPr>
      </w:pPr>
    </w:p>
    <w:p w:rsidR="00B21DD3" w:rsidRDefault="00B21DD3" w:rsidP="00B21DD3">
      <w:pPr>
        <w:autoSpaceDE w:val="0"/>
        <w:autoSpaceDN w:val="0"/>
        <w:adjustRightInd w:val="0"/>
        <w:rPr>
          <w:rFonts w:eastAsiaTheme="minorHAnsi"/>
          <w:sz w:val="22"/>
          <w:szCs w:val="22"/>
          <w:lang w:eastAsia="en-US"/>
        </w:rPr>
      </w:pPr>
      <w:r>
        <w:rPr>
          <w:rFonts w:eastAsiaTheme="minorHAnsi"/>
          <w:sz w:val="22"/>
          <w:szCs w:val="22"/>
          <w:lang w:eastAsia="en-US"/>
        </w:rPr>
        <w:t>8. Machtiging aan de Directie tot inkoop van eigen aandelen</w:t>
      </w: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Voorgesteld wordt aan de Directie machtiging te verlenen om, met goedkeuring van de</w:t>
      </w: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 xml:space="preserve">Raad van Commissarissen, Ajax </w:t>
      </w:r>
      <w:r>
        <w:rPr>
          <w:rFonts w:ascii="˚FÀ˛" w:eastAsiaTheme="minorHAnsi" w:hAnsi="˚FÀ˛" w:cs="˚FÀ˛"/>
          <w:sz w:val="21"/>
          <w:szCs w:val="21"/>
          <w:lang w:eastAsia="en-US"/>
        </w:rPr>
        <w:t xml:space="preserve">– </w:t>
      </w:r>
      <w:r>
        <w:rPr>
          <w:rFonts w:eastAsiaTheme="minorHAnsi"/>
          <w:sz w:val="21"/>
          <w:szCs w:val="21"/>
          <w:lang w:eastAsia="en-US"/>
        </w:rPr>
        <w:t xml:space="preserve">anders dan om niet </w:t>
      </w:r>
      <w:r>
        <w:rPr>
          <w:rFonts w:ascii="˚FÀ˛" w:eastAsiaTheme="minorHAnsi" w:hAnsi="˚FÀ˛" w:cs="˚FÀ˛"/>
          <w:sz w:val="21"/>
          <w:szCs w:val="21"/>
          <w:lang w:eastAsia="en-US"/>
        </w:rPr>
        <w:t xml:space="preserve">– </w:t>
      </w:r>
      <w:r>
        <w:rPr>
          <w:rFonts w:eastAsiaTheme="minorHAnsi"/>
          <w:sz w:val="21"/>
          <w:szCs w:val="21"/>
          <w:lang w:eastAsia="en-US"/>
        </w:rPr>
        <w:t>eigen aandelen te doen verkrijgen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tot</w:t>
      </w:r>
      <w:proofErr w:type="gramEnd"/>
      <w:r>
        <w:rPr>
          <w:rFonts w:eastAsiaTheme="minorHAnsi"/>
          <w:sz w:val="21"/>
          <w:szCs w:val="21"/>
          <w:lang w:eastAsia="en-US"/>
        </w:rPr>
        <w:t xml:space="preserve"> nominaal niet meer dan 10% van het geplaatste kapitaal. Deze verkrijging mag</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geschieden</w:t>
      </w:r>
      <w:proofErr w:type="gramEnd"/>
      <w:r>
        <w:rPr>
          <w:rFonts w:eastAsiaTheme="minorHAnsi"/>
          <w:sz w:val="21"/>
          <w:szCs w:val="21"/>
          <w:lang w:eastAsia="en-US"/>
        </w:rPr>
        <w:t xml:space="preserve"> door alle overeenkomsten, daaronder begrepen transacties ter beurze 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onderhandse</w:t>
      </w:r>
      <w:proofErr w:type="gramEnd"/>
      <w:r>
        <w:rPr>
          <w:rFonts w:eastAsiaTheme="minorHAnsi"/>
          <w:sz w:val="21"/>
          <w:szCs w:val="21"/>
          <w:lang w:eastAsia="en-US"/>
        </w:rPr>
        <w:t xml:space="preserve"> transacties. De machtiging geldt voor een periode van 18 maanden, te</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rekenen</w:t>
      </w:r>
      <w:proofErr w:type="gramEnd"/>
      <w:r>
        <w:rPr>
          <w:rFonts w:eastAsiaTheme="minorHAnsi"/>
          <w:sz w:val="21"/>
          <w:szCs w:val="21"/>
          <w:lang w:eastAsia="en-US"/>
        </w:rPr>
        <w:t xml:space="preserve"> vanaf 16 november 2018. De prijs zal gelegen moeten zijn tussen de nominale</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waarde</w:t>
      </w:r>
      <w:proofErr w:type="gramEnd"/>
      <w:r>
        <w:rPr>
          <w:rFonts w:eastAsiaTheme="minorHAnsi"/>
          <w:sz w:val="21"/>
          <w:szCs w:val="21"/>
          <w:lang w:eastAsia="en-US"/>
        </w:rPr>
        <w:t xml:space="preserve"> van de aandelen en een bedrag gelijk aan 110% van de beursprijs. Onder</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beursprijs</w:t>
      </w:r>
      <w:proofErr w:type="gramEnd"/>
      <w:r>
        <w:rPr>
          <w:rFonts w:eastAsiaTheme="minorHAnsi"/>
          <w:sz w:val="21"/>
          <w:szCs w:val="21"/>
          <w:lang w:eastAsia="en-US"/>
        </w:rPr>
        <w:t xml:space="preserve"> wordt verstaan: het gemiddelde van de per elk van de vijf beursdagen, waarop</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lastRenderedPageBreak/>
        <w:t>een</w:t>
      </w:r>
      <w:proofErr w:type="gramEnd"/>
      <w:r>
        <w:rPr>
          <w:rFonts w:eastAsiaTheme="minorHAnsi"/>
          <w:sz w:val="21"/>
          <w:szCs w:val="21"/>
          <w:lang w:eastAsia="en-US"/>
        </w:rPr>
        <w:t xml:space="preserve"> notering is opgemaakt voorafgaande aan de dag van de verkrijging, vast te stellen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hoogste</w:t>
      </w:r>
      <w:proofErr w:type="gramEnd"/>
      <w:r>
        <w:rPr>
          <w:rFonts w:eastAsiaTheme="minorHAnsi"/>
          <w:sz w:val="21"/>
          <w:szCs w:val="21"/>
          <w:lang w:eastAsia="en-US"/>
        </w:rPr>
        <w:t xml:space="preserve"> prijs per aandeel blijkens de Officiële Prijscourant van Euronext Amsterdam.</w:t>
      </w: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De voorzitter constateert dat de vergadering de machtiging tot inkoop van eigen aandelen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verleent</w:t>
      </w:r>
      <w:proofErr w:type="gramEnd"/>
      <w:r>
        <w:rPr>
          <w:rFonts w:eastAsiaTheme="minorHAnsi"/>
          <w:sz w:val="21"/>
          <w:szCs w:val="21"/>
          <w:lang w:eastAsia="en-US"/>
        </w:rPr>
        <w:t xml:space="preserve"> en dat het voorstel is goedgekeurd</w:t>
      </w:r>
    </w:p>
    <w:p w:rsidR="00B21DD3" w:rsidRDefault="00B21DD3" w:rsidP="00B21DD3">
      <w:pPr>
        <w:autoSpaceDE w:val="0"/>
        <w:autoSpaceDN w:val="0"/>
        <w:adjustRightInd w:val="0"/>
        <w:rPr>
          <w:rFonts w:eastAsiaTheme="minorHAnsi"/>
          <w:sz w:val="21"/>
          <w:szCs w:val="21"/>
          <w:lang w:eastAsia="en-US"/>
        </w:rPr>
      </w:pP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 xml:space="preserve">Mevrouw Meijer stelt dat er bij de thuiswedstrijden in de </w:t>
      </w:r>
      <w:proofErr w:type="spellStart"/>
      <w:r>
        <w:rPr>
          <w:rFonts w:eastAsiaTheme="minorHAnsi"/>
          <w:sz w:val="21"/>
          <w:szCs w:val="21"/>
          <w:lang w:eastAsia="en-US"/>
        </w:rPr>
        <w:t>Champions</w:t>
      </w:r>
      <w:proofErr w:type="spellEnd"/>
      <w:r>
        <w:rPr>
          <w:rFonts w:eastAsiaTheme="minorHAnsi"/>
          <w:sz w:val="21"/>
          <w:szCs w:val="21"/>
          <w:lang w:eastAsia="en-US"/>
        </w:rPr>
        <w:t xml:space="preserve"> League tijdens de rust</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niets</w:t>
      </w:r>
      <w:proofErr w:type="gramEnd"/>
      <w:r>
        <w:rPr>
          <w:rFonts w:eastAsiaTheme="minorHAnsi"/>
          <w:sz w:val="21"/>
          <w:szCs w:val="21"/>
          <w:lang w:eastAsia="en-US"/>
        </w:rPr>
        <w:t xml:space="preserve"> gebeurt. Het lijkt haar een goed idee om bij de wedstrijd Ajax-</w:t>
      </w:r>
      <w:proofErr w:type="spellStart"/>
      <w:r>
        <w:rPr>
          <w:rFonts w:eastAsiaTheme="minorHAnsi"/>
          <w:sz w:val="21"/>
          <w:szCs w:val="21"/>
          <w:lang w:eastAsia="en-US"/>
        </w:rPr>
        <w:t>Bayern</w:t>
      </w:r>
      <w:proofErr w:type="spellEnd"/>
      <w:r>
        <w:rPr>
          <w:rFonts w:eastAsiaTheme="minorHAnsi"/>
          <w:sz w:val="21"/>
          <w:szCs w:val="21"/>
          <w:lang w:eastAsia="en-US"/>
        </w:rPr>
        <w:t xml:space="preserve"> </w:t>
      </w:r>
      <w:proofErr w:type="spellStart"/>
      <w:r>
        <w:rPr>
          <w:rFonts w:eastAsiaTheme="minorHAnsi"/>
          <w:sz w:val="21"/>
          <w:szCs w:val="21"/>
          <w:lang w:eastAsia="en-US"/>
        </w:rPr>
        <w:t>München</w:t>
      </w:r>
      <w:proofErr w:type="spellEnd"/>
      <w:r>
        <w:rPr>
          <w:rFonts w:eastAsiaTheme="minorHAnsi"/>
          <w:sz w:val="21"/>
          <w:szCs w:val="21"/>
          <w:lang w:eastAsia="en-US"/>
        </w:rPr>
        <w:t>, net</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als</w:t>
      </w:r>
      <w:proofErr w:type="gramEnd"/>
      <w:r>
        <w:rPr>
          <w:rFonts w:eastAsiaTheme="minorHAnsi"/>
          <w:sz w:val="21"/>
          <w:szCs w:val="21"/>
          <w:lang w:eastAsia="en-US"/>
        </w:rPr>
        <w:t xml:space="preserve"> bij de wedstrijd in 1995, André Rieu uit te nodigen voor de pauze.</w:t>
      </w: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De heer Van der Sar juicht het idee toe, maar helaas heeft de UEFA de regels op</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commercieel</w:t>
      </w:r>
      <w:proofErr w:type="gramEnd"/>
      <w:r>
        <w:rPr>
          <w:rFonts w:eastAsiaTheme="minorHAnsi"/>
          <w:sz w:val="21"/>
          <w:szCs w:val="21"/>
          <w:lang w:eastAsia="en-US"/>
        </w:rPr>
        <w:t xml:space="preserve"> gebied aangescherpt. Tijdens de rust en voor en na de wedstrijd moet het</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veld</w:t>
      </w:r>
      <w:proofErr w:type="gramEnd"/>
      <w:r>
        <w:rPr>
          <w:rFonts w:eastAsiaTheme="minorHAnsi"/>
          <w:sz w:val="21"/>
          <w:szCs w:val="21"/>
          <w:lang w:eastAsia="en-US"/>
        </w:rPr>
        <w:t xml:space="preserve"> vrij blijven; er mogen geen artiesten optreden of </w:t>
      </w:r>
      <w:proofErr w:type="spellStart"/>
      <w:r>
        <w:rPr>
          <w:rFonts w:eastAsiaTheme="minorHAnsi"/>
          <w:sz w:val="21"/>
          <w:szCs w:val="21"/>
          <w:lang w:eastAsia="en-US"/>
        </w:rPr>
        <w:t>sfeerverhogende</w:t>
      </w:r>
      <w:proofErr w:type="spellEnd"/>
      <w:r>
        <w:rPr>
          <w:rFonts w:eastAsiaTheme="minorHAnsi"/>
          <w:sz w:val="21"/>
          <w:szCs w:val="21"/>
          <w:lang w:eastAsia="en-US"/>
        </w:rPr>
        <w:t xml:space="preserve"> activiteiten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plaatsvinden</w:t>
      </w:r>
      <w:proofErr w:type="gramEnd"/>
      <w:r>
        <w:rPr>
          <w:rFonts w:eastAsiaTheme="minorHAnsi"/>
          <w:sz w:val="21"/>
          <w:szCs w:val="21"/>
          <w:lang w:eastAsia="en-US"/>
        </w:rPr>
        <w:t>. Onderzocht zal worden of iets anders kan worden gedaan.</w:t>
      </w:r>
    </w:p>
    <w:p w:rsidR="00B21DD3" w:rsidRDefault="00B21DD3" w:rsidP="00B21DD3">
      <w:pPr>
        <w:autoSpaceDE w:val="0"/>
        <w:autoSpaceDN w:val="0"/>
        <w:adjustRightInd w:val="0"/>
        <w:rPr>
          <w:rFonts w:eastAsiaTheme="minorHAnsi"/>
          <w:sz w:val="21"/>
          <w:szCs w:val="21"/>
          <w:lang w:eastAsia="en-US"/>
        </w:rPr>
      </w:pP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 xml:space="preserve">Op de vraag van de heer </w:t>
      </w:r>
      <w:proofErr w:type="spellStart"/>
      <w:r>
        <w:rPr>
          <w:rFonts w:eastAsiaTheme="minorHAnsi"/>
          <w:sz w:val="21"/>
          <w:szCs w:val="21"/>
          <w:lang w:eastAsia="en-US"/>
        </w:rPr>
        <w:t>Ellerbroek</w:t>
      </w:r>
      <w:proofErr w:type="spellEnd"/>
      <w:r>
        <w:rPr>
          <w:rFonts w:eastAsiaTheme="minorHAnsi"/>
          <w:sz w:val="21"/>
          <w:szCs w:val="21"/>
          <w:lang w:eastAsia="en-US"/>
        </w:rPr>
        <w:t xml:space="preserve"> of Ajax een Zwartepietenbeleid heeft, meldt de heer</w:t>
      </w: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Van der Sar dat Ajax meegaat met de tijd, zowel op voetbalgebied, financieel gebied als in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het</w:t>
      </w:r>
      <w:proofErr w:type="gramEnd"/>
      <w:r>
        <w:rPr>
          <w:rFonts w:eastAsiaTheme="minorHAnsi"/>
          <w:sz w:val="21"/>
          <w:szCs w:val="21"/>
          <w:lang w:eastAsia="en-US"/>
        </w:rPr>
        <w:t xml:space="preserve"> Zwartepietenbeleid. Ajax heeft vorig jaar rood-wit pieten gehad.</w:t>
      </w:r>
    </w:p>
    <w:p w:rsidR="00B21DD3" w:rsidRDefault="00B21DD3" w:rsidP="00B21DD3">
      <w:pPr>
        <w:autoSpaceDE w:val="0"/>
        <w:autoSpaceDN w:val="0"/>
        <w:adjustRightInd w:val="0"/>
        <w:rPr>
          <w:rFonts w:eastAsiaTheme="minorHAnsi"/>
          <w:sz w:val="21"/>
          <w:szCs w:val="21"/>
          <w:lang w:eastAsia="en-US"/>
        </w:rPr>
      </w:pPr>
    </w:p>
    <w:p w:rsidR="00B21DD3" w:rsidRDefault="00B21DD3" w:rsidP="00B21DD3">
      <w:pPr>
        <w:autoSpaceDE w:val="0"/>
        <w:autoSpaceDN w:val="0"/>
        <w:adjustRightInd w:val="0"/>
        <w:rPr>
          <w:rFonts w:eastAsiaTheme="minorHAnsi"/>
          <w:sz w:val="21"/>
          <w:szCs w:val="21"/>
          <w:lang w:eastAsia="en-US"/>
        </w:rPr>
      </w:pPr>
      <w:r>
        <w:rPr>
          <w:rFonts w:eastAsiaTheme="minorHAnsi"/>
          <w:sz w:val="21"/>
          <w:szCs w:val="21"/>
          <w:lang w:eastAsia="en-US"/>
        </w:rPr>
        <w:t xml:space="preserve">Op de stelling van de heer </w:t>
      </w:r>
      <w:proofErr w:type="spellStart"/>
      <w:r>
        <w:rPr>
          <w:rFonts w:eastAsiaTheme="minorHAnsi"/>
          <w:sz w:val="21"/>
          <w:szCs w:val="21"/>
          <w:lang w:eastAsia="en-US"/>
        </w:rPr>
        <w:t>Princen</w:t>
      </w:r>
      <w:proofErr w:type="spellEnd"/>
      <w:r>
        <w:rPr>
          <w:rFonts w:eastAsiaTheme="minorHAnsi"/>
          <w:sz w:val="21"/>
          <w:szCs w:val="21"/>
          <w:lang w:eastAsia="en-US"/>
        </w:rPr>
        <w:t xml:space="preserve"> dat vorig jaar is besloten tot een andere constructie van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dividenduitkering</w:t>
      </w:r>
      <w:proofErr w:type="gramEnd"/>
      <w:r>
        <w:rPr>
          <w:rFonts w:eastAsiaTheme="minorHAnsi"/>
          <w:sz w:val="21"/>
          <w:szCs w:val="21"/>
          <w:lang w:eastAsia="en-US"/>
        </w:rPr>
        <w:t>, bevestigt de voorzitter dat de vergadering het voorstel heeft</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goedgekeurd</w:t>
      </w:r>
      <w:proofErr w:type="gramEnd"/>
      <w:r>
        <w:rPr>
          <w:rFonts w:eastAsiaTheme="minorHAnsi"/>
          <w:sz w:val="21"/>
          <w:szCs w:val="21"/>
          <w:lang w:eastAsia="en-US"/>
        </w:rPr>
        <w:t xml:space="preserve"> om het dividendbesluit niet meer te koppelen aan het nettoresultaat maar aan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het</w:t>
      </w:r>
      <w:proofErr w:type="gramEnd"/>
      <w:r>
        <w:rPr>
          <w:rFonts w:eastAsiaTheme="minorHAnsi"/>
          <w:sz w:val="21"/>
          <w:szCs w:val="21"/>
          <w:lang w:eastAsia="en-US"/>
        </w:rPr>
        <w:t xml:space="preserve"> operationeel resultaat. Gezien het negatief operationeel resultaat is de conclusie geen</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dividend</w:t>
      </w:r>
      <w:proofErr w:type="gramEnd"/>
      <w:r>
        <w:rPr>
          <w:rFonts w:eastAsiaTheme="minorHAnsi"/>
          <w:sz w:val="21"/>
          <w:szCs w:val="21"/>
          <w:lang w:eastAsia="en-US"/>
        </w:rPr>
        <w:t xml:space="preserve"> uit te keren. Op basis van het nettoresultaat zou waarschijnlijk hetzelfde besluit</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zijn</w:t>
      </w:r>
      <w:proofErr w:type="gramEnd"/>
      <w:r>
        <w:rPr>
          <w:rFonts w:eastAsiaTheme="minorHAnsi"/>
          <w:sz w:val="21"/>
          <w:szCs w:val="21"/>
          <w:lang w:eastAsia="en-US"/>
        </w:rPr>
        <w:t xml:space="preserve"> genomen. Zoals het er nu uitziet, zijn de mogelijkheden voor een andere conclusie na</w:t>
      </w:r>
    </w:p>
    <w:p w:rsidR="00B21DD3" w:rsidRDefault="00B21DD3" w:rsidP="00B21DD3">
      <w:pPr>
        <w:autoSpaceDE w:val="0"/>
        <w:autoSpaceDN w:val="0"/>
        <w:adjustRightInd w:val="0"/>
        <w:rPr>
          <w:rFonts w:eastAsiaTheme="minorHAnsi"/>
          <w:sz w:val="21"/>
          <w:szCs w:val="21"/>
          <w:lang w:eastAsia="en-US"/>
        </w:rPr>
      </w:pPr>
      <w:proofErr w:type="gramStart"/>
      <w:r>
        <w:rPr>
          <w:rFonts w:eastAsiaTheme="minorHAnsi"/>
          <w:sz w:val="21"/>
          <w:szCs w:val="21"/>
          <w:lang w:eastAsia="en-US"/>
        </w:rPr>
        <w:t>het</w:t>
      </w:r>
      <w:proofErr w:type="gramEnd"/>
      <w:r>
        <w:rPr>
          <w:rFonts w:eastAsiaTheme="minorHAnsi"/>
          <w:sz w:val="21"/>
          <w:szCs w:val="21"/>
          <w:lang w:eastAsia="en-US"/>
        </w:rPr>
        <w:t xml:space="preserve"> huidige seizoen groter</w:t>
      </w:r>
    </w:p>
    <w:p w:rsidR="00BE4CBD" w:rsidRDefault="00BE4CBD" w:rsidP="00B21DD3">
      <w:pPr>
        <w:autoSpaceDE w:val="0"/>
        <w:autoSpaceDN w:val="0"/>
        <w:adjustRightInd w:val="0"/>
        <w:rPr>
          <w:rFonts w:eastAsiaTheme="minorHAnsi"/>
          <w:sz w:val="21"/>
          <w:szCs w:val="21"/>
          <w:lang w:eastAsia="en-US"/>
        </w:rPr>
      </w:pPr>
    </w:p>
    <w:p w:rsidR="00BE4CBD" w:rsidRDefault="00BE4CBD" w:rsidP="00B21DD3">
      <w:pPr>
        <w:autoSpaceDE w:val="0"/>
        <w:autoSpaceDN w:val="0"/>
        <w:adjustRightInd w:val="0"/>
        <w:rPr>
          <w:rFonts w:eastAsiaTheme="minorHAnsi"/>
          <w:sz w:val="21"/>
          <w:szCs w:val="21"/>
          <w:lang w:eastAsia="en-US"/>
        </w:rPr>
      </w:pPr>
      <w:r>
        <w:rPr>
          <w:rFonts w:eastAsiaTheme="minorHAnsi"/>
          <w:sz w:val="21"/>
          <w:szCs w:val="21"/>
          <w:lang w:eastAsia="en-US"/>
        </w:rPr>
        <w:t>Rentabiliteit Stadion</w:t>
      </w:r>
    </w:p>
    <w:p w:rsidR="00BE4CBD" w:rsidRDefault="00BE4CBD" w:rsidP="00B21DD3">
      <w:pPr>
        <w:autoSpaceDE w:val="0"/>
        <w:autoSpaceDN w:val="0"/>
        <w:adjustRightInd w:val="0"/>
        <w:rPr>
          <w:rFonts w:eastAsiaTheme="minorHAnsi"/>
          <w:sz w:val="21"/>
          <w:szCs w:val="21"/>
          <w:lang w:eastAsia="en-US"/>
        </w:rPr>
      </w:pPr>
      <w:bookmarkStart w:id="0" w:name="_GoBack"/>
      <w:bookmarkEnd w:id="0"/>
    </w:p>
    <w:p w:rsidR="00BE4CBD" w:rsidRDefault="00BE4CBD" w:rsidP="00B21DD3">
      <w:pPr>
        <w:autoSpaceDE w:val="0"/>
        <w:autoSpaceDN w:val="0"/>
        <w:adjustRightInd w:val="0"/>
        <w:rPr>
          <w:rFonts w:eastAsiaTheme="minorHAnsi"/>
          <w:sz w:val="21"/>
          <w:szCs w:val="21"/>
          <w:lang w:eastAsia="en-US"/>
        </w:rPr>
      </w:pPr>
    </w:p>
    <w:tbl>
      <w:tblPr>
        <w:tblW w:w="7420" w:type="dxa"/>
        <w:tblCellMar>
          <w:left w:w="70" w:type="dxa"/>
          <w:right w:w="70" w:type="dxa"/>
        </w:tblCellMar>
        <w:tblLook w:val="04A0" w:firstRow="1" w:lastRow="0" w:firstColumn="1" w:lastColumn="0" w:noHBand="0" w:noVBand="1"/>
      </w:tblPr>
      <w:tblGrid>
        <w:gridCol w:w="2820"/>
        <w:gridCol w:w="1300"/>
        <w:gridCol w:w="1300"/>
        <w:gridCol w:w="2000"/>
      </w:tblGrid>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13%</w:t>
            </w:r>
          </w:p>
        </w:tc>
        <w:tc>
          <w:tcPr>
            <w:tcW w:w="20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2800000</w:t>
            </w: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rFonts w:ascii="Calibri" w:hAnsi="Calibri" w:cs="Calibri"/>
                <w:color w:val="000000"/>
              </w:rPr>
            </w:pPr>
            <w:r w:rsidRPr="00BE4CBD">
              <w:rPr>
                <w:rFonts w:ascii="Calibri" w:hAnsi="Calibri" w:cs="Calibri"/>
                <w:color w:val="000000"/>
              </w:rPr>
              <w:t>Aanschaf stadion</w:t>
            </w: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000000" w:fill="FCE4D6"/>
            <w:noWrap/>
            <w:vAlign w:val="bottom"/>
            <w:hideMark/>
          </w:tcPr>
          <w:p w:rsidR="00BE4CBD" w:rsidRPr="00BE4CBD" w:rsidRDefault="00BE4CBD" w:rsidP="00BE4CBD">
            <w:pPr>
              <w:rPr>
                <w:rFonts w:ascii="Calibri" w:hAnsi="Calibri" w:cs="Calibri"/>
                <w:color w:val="000000"/>
              </w:rPr>
            </w:pPr>
            <w:r w:rsidRPr="00BE4CBD">
              <w:rPr>
                <w:rFonts w:ascii="Calibri" w:hAnsi="Calibri" w:cs="Calibri"/>
                <w:color w:val="000000"/>
              </w:rPr>
              <w:t xml:space="preserve"> €    21.538.461,54 </w:t>
            </w: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rFonts w:ascii="Calibri" w:hAnsi="Calibri" w:cs="Calibri"/>
                <w:color w:val="000000"/>
              </w:rPr>
            </w:pPr>
            <w:r w:rsidRPr="00BE4CBD">
              <w:rPr>
                <w:rFonts w:ascii="Calibri" w:hAnsi="Calibri" w:cs="Calibri"/>
                <w:color w:val="000000"/>
              </w:rPr>
              <w:t>Winst</w:t>
            </w: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1440000</w:t>
            </w:r>
          </w:p>
        </w:tc>
        <w:tc>
          <w:tcPr>
            <w:tcW w:w="20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7%</w:t>
            </w: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1926000</w:t>
            </w:r>
          </w:p>
        </w:tc>
        <w:tc>
          <w:tcPr>
            <w:tcW w:w="200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r w:rsidRPr="00BE4CBD">
              <w:rPr>
                <w:rFonts w:ascii="Calibri" w:hAnsi="Calibri" w:cs="Calibri"/>
                <w:color w:val="000000"/>
              </w:rPr>
              <w:t>9%</w:t>
            </w: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jc w:val="right"/>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r w:rsidR="00BE4CBD" w:rsidRPr="00BE4CBD" w:rsidTr="00BE4CBD">
        <w:trPr>
          <w:trHeight w:val="320"/>
        </w:trPr>
        <w:tc>
          <w:tcPr>
            <w:tcW w:w="282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13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c>
          <w:tcPr>
            <w:tcW w:w="2000" w:type="dxa"/>
            <w:tcBorders>
              <w:top w:val="nil"/>
              <w:left w:val="nil"/>
              <w:bottom w:val="nil"/>
              <w:right w:val="nil"/>
            </w:tcBorders>
            <w:shd w:val="clear" w:color="auto" w:fill="auto"/>
            <w:noWrap/>
            <w:vAlign w:val="bottom"/>
            <w:hideMark/>
          </w:tcPr>
          <w:p w:rsidR="00BE4CBD" w:rsidRPr="00BE4CBD" w:rsidRDefault="00BE4CBD" w:rsidP="00BE4CBD">
            <w:pPr>
              <w:rPr>
                <w:sz w:val="20"/>
                <w:szCs w:val="20"/>
              </w:rPr>
            </w:pPr>
          </w:p>
        </w:tc>
      </w:tr>
    </w:tbl>
    <w:p w:rsidR="00BE4CBD" w:rsidRPr="009F5891" w:rsidRDefault="00BE4CBD" w:rsidP="00B21DD3">
      <w:pPr>
        <w:autoSpaceDE w:val="0"/>
        <w:autoSpaceDN w:val="0"/>
        <w:adjustRightInd w:val="0"/>
        <w:rPr>
          <w:rFonts w:asciiTheme="minorHAnsi" w:eastAsiaTheme="minorHAnsi" w:hAnsiTheme="minorHAnsi" w:cstheme="minorHAnsi"/>
          <w:sz w:val="22"/>
          <w:szCs w:val="22"/>
          <w:lang w:eastAsia="en-US"/>
        </w:rPr>
      </w:pPr>
    </w:p>
    <w:sectPr w:rsidR="00BE4CBD" w:rsidRPr="009F5891" w:rsidSect="003D3C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À˛">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1978"/>
    <w:multiLevelType w:val="hybridMultilevel"/>
    <w:tmpl w:val="ADFE85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301B90"/>
    <w:multiLevelType w:val="multilevel"/>
    <w:tmpl w:val="56C8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86685"/>
    <w:multiLevelType w:val="multilevel"/>
    <w:tmpl w:val="B3A8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C725B"/>
    <w:multiLevelType w:val="hybridMultilevel"/>
    <w:tmpl w:val="A8C89E86"/>
    <w:lvl w:ilvl="0" w:tplc="7EAAD3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F855C1"/>
    <w:multiLevelType w:val="multilevel"/>
    <w:tmpl w:val="3664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148A6"/>
    <w:multiLevelType w:val="hybridMultilevel"/>
    <w:tmpl w:val="774E56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974FB3"/>
    <w:multiLevelType w:val="hybridMultilevel"/>
    <w:tmpl w:val="1A34A4A0"/>
    <w:lvl w:ilvl="0" w:tplc="23BEB9CE">
      <w:start w:val="1"/>
      <w:numFmt w:val="decimal"/>
      <w:lvlText w:val="%1"/>
      <w:lvlJc w:val="left"/>
      <w:pPr>
        <w:ind w:left="1427" w:hanging="360"/>
      </w:pPr>
      <w:rPr>
        <w:rFonts w:asciiTheme="minorHAnsi" w:hAnsiTheme="minorHAnsi" w:cstheme="minorHAnsi" w:hint="default"/>
        <w:sz w:val="20"/>
        <w:szCs w:val="20"/>
      </w:rPr>
    </w:lvl>
    <w:lvl w:ilvl="1" w:tplc="04130019" w:tentative="1">
      <w:start w:val="1"/>
      <w:numFmt w:val="lowerLetter"/>
      <w:lvlText w:val="%2."/>
      <w:lvlJc w:val="left"/>
      <w:pPr>
        <w:ind w:left="2147" w:hanging="360"/>
      </w:pPr>
    </w:lvl>
    <w:lvl w:ilvl="2" w:tplc="0413001B" w:tentative="1">
      <w:start w:val="1"/>
      <w:numFmt w:val="lowerRoman"/>
      <w:lvlText w:val="%3."/>
      <w:lvlJc w:val="right"/>
      <w:pPr>
        <w:ind w:left="2867" w:hanging="180"/>
      </w:pPr>
    </w:lvl>
    <w:lvl w:ilvl="3" w:tplc="0413000F" w:tentative="1">
      <w:start w:val="1"/>
      <w:numFmt w:val="decimal"/>
      <w:lvlText w:val="%4."/>
      <w:lvlJc w:val="left"/>
      <w:pPr>
        <w:ind w:left="3587" w:hanging="360"/>
      </w:pPr>
    </w:lvl>
    <w:lvl w:ilvl="4" w:tplc="04130019" w:tentative="1">
      <w:start w:val="1"/>
      <w:numFmt w:val="lowerLetter"/>
      <w:lvlText w:val="%5."/>
      <w:lvlJc w:val="left"/>
      <w:pPr>
        <w:ind w:left="4307" w:hanging="360"/>
      </w:pPr>
    </w:lvl>
    <w:lvl w:ilvl="5" w:tplc="0413001B" w:tentative="1">
      <w:start w:val="1"/>
      <w:numFmt w:val="lowerRoman"/>
      <w:lvlText w:val="%6."/>
      <w:lvlJc w:val="right"/>
      <w:pPr>
        <w:ind w:left="5027" w:hanging="180"/>
      </w:pPr>
    </w:lvl>
    <w:lvl w:ilvl="6" w:tplc="0413000F" w:tentative="1">
      <w:start w:val="1"/>
      <w:numFmt w:val="decimal"/>
      <w:lvlText w:val="%7."/>
      <w:lvlJc w:val="left"/>
      <w:pPr>
        <w:ind w:left="5747" w:hanging="360"/>
      </w:pPr>
    </w:lvl>
    <w:lvl w:ilvl="7" w:tplc="04130019" w:tentative="1">
      <w:start w:val="1"/>
      <w:numFmt w:val="lowerLetter"/>
      <w:lvlText w:val="%8."/>
      <w:lvlJc w:val="left"/>
      <w:pPr>
        <w:ind w:left="6467" w:hanging="360"/>
      </w:pPr>
    </w:lvl>
    <w:lvl w:ilvl="8" w:tplc="0413001B" w:tentative="1">
      <w:start w:val="1"/>
      <w:numFmt w:val="lowerRoman"/>
      <w:lvlText w:val="%9."/>
      <w:lvlJc w:val="right"/>
      <w:pPr>
        <w:ind w:left="7187" w:hanging="180"/>
      </w:pPr>
    </w:lvl>
  </w:abstractNum>
  <w:abstractNum w:abstractNumId="7" w15:restartNumberingAfterBreak="0">
    <w:nsid w:val="5C446061"/>
    <w:multiLevelType w:val="hybridMultilevel"/>
    <w:tmpl w:val="1A34A4A0"/>
    <w:lvl w:ilvl="0" w:tplc="23BEB9CE">
      <w:start w:val="1"/>
      <w:numFmt w:val="decimal"/>
      <w:lvlText w:val="%1"/>
      <w:lvlJc w:val="left"/>
      <w:pPr>
        <w:ind w:left="1427" w:hanging="360"/>
      </w:pPr>
      <w:rPr>
        <w:rFonts w:asciiTheme="minorHAnsi" w:hAnsiTheme="minorHAnsi" w:cstheme="minorHAnsi" w:hint="default"/>
        <w:sz w:val="20"/>
        <w:szCs w:val="20"/>
      </w:rPr>
    </w:lvl>
    <w:lvl w:ilvl="1" w:tplc="04130019" w:tentative="1">
      <w:start w:val="1"/>
      <w:numFmt w:val="lowerLetter"/>
      <w:lvlText w:val="%2."/>
      <w:lvlJc w:val="left"/>
      <w:pPr>
        <w:ind w:left="2147" w:hanging="360"/>
      </w:pPr>
    </w:lvl>
    <w:lvl w:ilvl="2" w:tplc="0413001B" w:tentative="1">
      <w:start w:val="1"/>
      <w:numFmt w:val="lowerRoman"/>
      <w:lvlText w:val="%3."/>
      <w:lvlJc w:val="right"/>
      <w:pPr>
        <w:ind w:left="2867" w:hanging="180"/>
      </w:pPr>
    </w:lvl>
    <w:lvl w:ilvl="3" w:tplc="0413000F" w:tentative="1">
      <w:start w:val="1"/>
      <w:numFmt w:val="decimal"/>
      <w:lvlText w:val="%4."/>
      <w:lvlJc w:val="left"/>
      <w:pPr>
        <w:ind w:left="3587" w:hanging="360"/>
      </w:pPr>
    </w:lvl>
    <w:lvl w:ilvl="4" w:tplc="04130019" w:tentative="1">
      <w:start w:val="1"/>
      <w:numFmt w:val="lowerLetter"/>
      <w:lvlText w:val="%5."/>
      <w:lvlJc w:val="left"/>
      <w:pPr>
        <w:ind w:left="4307" w:hanging="360"/>
      </w:pPr>
    </w:lvl>
    <w:lvl w:ilvl="5" w:tplc="0413001B" w:tentative="1">
      <w:start w:val="1"/>
      <w:numFmt w:val="lowerRoman"/>
      <w:lvlText w:val="%6."/>
      <w:lvlJc w:val="right"/>
      <w:pPr>
        <w:ind w:left="5027" w:hanging="180"/>
      </w:pPr>
    </w:lvl>
    <w:lvl w:ilvl="6" w:tplc="0413000F" w:tentative="1">
      <w:start w:val="1"/>
      <w:numFmt w:val="decimal"/>
      <w:lvlText w:val="%7."/>
      <w:lvlJc w:val="left"/>
      <w:pPr>
        <w:ind w:left="5747" w:hanging="360"/>
      </w:pPr>
    </w:lvl>
    <w:lvl w:ilvl="7" w:tplc="04130019" w:tentative="1">
      <w:start w:val="1"/>
      <w:numFmt w:val="lowerLetter"/>
      <w:lvlText w:val="%8."/>
      <w:lvlJc w:val="left"/>
      <w:pPr>
        <w:ind w:left="6467" w:hanging="360"/>
      </w:pPr>
    </w:lvl>
    <w:lvl w:ilvl="8" w:tplc="0413001B" w:tentative="1">
      <w:start w:val="1"/>
      <w:numFmt w:val="lowerRoman"/>
      <w:lvlText w:val="%9."/>
      <w:lvlJc w:val="right"/>
      <w:pPr>
        <w:ind w:left="7187" w:hanging="180"/>
      </w:pPr>
    </w:lvl>
  </w:abstractNum>
  <w:num w:numId="1">
    <w:abstractNumId w:val="5"/>
  </w:num>
  <w:num w:numId="2">
    <w:abstractNumId w:val="0"/>
  </w:num>
  <w:num w:numId="3">
    <w:abstractNumId w:val="3"/>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16"/>
    <w:rsid w:val="00222069"/>
    <w:rsid w:val="00226416"/>
    <w:rsid w:val="002E7963"/>
    <w:rsid w:val="00307E55"/>
    <w:rsid w:val="0032352F"/>
    <w:rsid w:val="00371F6B"/>
    <w:rsid w:val="003A68CC"/>
    <w:rsid w:val="003D3CBC"/>
    <w:rsid w:val="00590785"/>
    <w:rsid w:val="005C494A"/>
    <w:rsid w:val="005F38CE"/>
    <w:rsid w:val="007A69FE"/>
    <w:rsid w:val="007C0FB0"/>
    <w:rsid w:val="009F5891"/>
    <w:rsid w:val="00AE702F"/>
    <w:rsid w:val="00B21DD3"/>
    <w:rsid w:val="00BE4CBD"/>
    <w:rsid w:val="00C94848"/>
    <w:rsid w:val="00D8712D"/>
    <w:rsid w:val="00DA462C"/>
    <w:rsid w:val="00DD5347"/>
    <w:rsid w:val="00E00FEA"/>
    <w:rsid w:val="00E02594"/>
    <w:rsid w:val="00E44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17D0"/>
  <w15:chartTrackingRefBased/>
  <w15:docId w15:val="{B0B7671A-8BDB-D44C-8DFA-9C2472C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848"/>
    <w:rPr>
      <w:rFonts w:ascii="Times New Roman" w:eastAsia="Times New Roman" w:hAnsi="Times New Roman" w:cs="Times New Roman"/>
      <w:lang w:eastAsia="nl-NL"/>
    </w:rPr>
  </w:style>
  <w:style w:type="paragraph" w:styleId="Kop1">
    <w:name w:val="heading 1"/>
    <w:aliases w:val="kop2"/>
    <w:basedOn w:val="Kop2"/>
    <w:next w:val="Standaard"/>
    <w:link w:val="Kop1Char"/>
    <w:uiPriority w:val="9"/>
    <w:qFormat/>
    <w:rsid w:val="007C0FB0"/>
    <w:pPr>
      <w:spacing w:before="240"/>
      <w:outlineLvl w:val="0"/>
    </w:pPr>
    <w:rPr>
      <w:sz w:val="32"/>
      <w:szCs w:val="32"/>
    </w:rPr>
  </w:style>
  <w:style w:type="paragraph" w:styleId="Kop2">
    <w:name w:val="heading 2"/>
    <w:basedOn w:val="Standaard"/>
    <w:next w:val="Standaard"/>
    <w:link w:val="Kop2Char"/>
    <w:uiPriority w:val="9"/>
    <w:semiHidden/>
    <w:unhideWhenUsed/>
    <w:qFormat/>
    <w:rsid w:val="007C0F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2 Char"/>
    <w:basedOn w:val="Standaardalinea-lettertype"/>
    <w:link w:val="Kop1"/>
    <w:uiPriority w:val="9"/>
    <w:rsid w:val="007C0FB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7C0FB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26416"/>
    <w:pPr>
      <w:ind w:left="720"/>
      <w:contextualSpacing/>
    </w:pPr>
  </w:style>
  <w:style w:type="paragraph" w:styleId="Normaalweb">
    <w:name w:val="Normal (Web)"/>
    <w:basedOn w:val="Standaard"/>
    <w:uiPriority w:val="99"/>
    <w:semiHidden/>
    <w:unhideWhenUsed/>
    <w:rsid w:val="009F5891"/>
    <w:pPr>
      <w:spacing w:before="100" w:beforeAutospacing="1" w:after="100" w:afterAutospacing="1"/>
    </w:pPr>
  </w:style>
  <w:style w:type="character" w:customStyle="1" w:styleId="listlabel">
    <w:name w:val="listlabel"/>
    <w:basedOn w:val="Standaardalinea-lettertype"/>
    <w:rsid w:val="009F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1975">
      <w:bodyDiv w:val="1"/>
      <w:marLeft w:val="0"/>
      <w:marRight w:val="0"/>
      <w:marTop w:val="0"/>
      <w:marBottom w:val="0"/>
      <w:divBdr>
        <w:top w:val="none" w:sz="0" w:space="0" w:color="auto"/>
        <w:left w:val="none" w:sz="0" w:space="0" w:color="auto"/>
        <w:bottom w:val="none" w:sz="0" w:space="0" w:color="auto"/>
        <w:right w:val="none" w:sz="0" w:space="0" w:color="auto"/>
      </w:divBdr>
    </w:div>
    <w:div w:id="482698771">
      <w:bodyDiv w:val="1"/>
      <w:marLeft w:val="0"/>
      <w:marRight w:val="0"/>
      <w:marTop w:val="0"/>
      <w:marBottom w:val="0"/>
      <w:divBdr>
        <w:top w:val="none" w:sz="0" w:space="0" w:color="auto"/>
        <w:left w:val="none" w:sz="0" w:space="0" w:color="auto"/>
        <w:bottom w:val="none" w:sz="0" w:space="0" w:color="auto"/>
        <w:right w:val="none" w:sz="0" w:space="0" w:color="auto"/>
      </w:divBdr>
    </w:div>
    <w:div w:id="1531799996">
      <w:bodyDiv w:val="1"/>
      <w:marLeft w:val="0"/>
      <w:marRight w:val="0"/>
      <w:marTop w:val="0"/>
      <w:marBottom w:val="0"/>
      <w:divBdr>
        <w:top w:val="none" w:sz="0" w:space="0" w:color="auto"/>
        <w:left w:val="none" w:sz="0" w:space="0" w:color="auto"/>
        <w:bottom w:val="none" w:sz="0" w:space="0" w:color="auto"/>
        <w:right w:val="none" w:sz="0" w:space="0" w:color="auto"/>
      </w:divBdr>
    </w:div>
    <w:div w:id="21223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1312</Words>
  <Characters>7221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de weerd</dc:creator>
  <cp:keywords/>
  <dc:description/>
  <cp:lastModifiedBy>Ronald de weerd</cp:lastModifiedBy>
  <cp:revision>4</cp:revision>
  <dcterms:created xsi:type="dcterms:W3CDTF">2019-06-02T12:37:00Z</dcterms:created>
  <dcterms:modified xsi:type="dcterms:W3CDTF">2019-06-07T12:02:00Z</dcterms:modified>
</cp:coreProperties>
</file>